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003" w14:textId="77777777" w:rsidR="00196ED7" w:rsidRDefault="00196ED7" w:rsidP="00196ED7">
      <w:pPr>
        <w:pStyle w:val="NoParagraphStyle"/>
        <w:suppressAutoHyphens/>
        <w:rPr>
          <w:rFonts w:ascii="Arial" w:hAnsi="Arial" w:cs="Arial"/>
          <w:b/>
          <w:color w:val="auto"/>
          <w:sz w:val="20"/>
          <w:szCs w:val="20"/>
          <w:lang w:val="ru-RU"/>
        </w:rPr>
      </w:pPr>
      <w:r>
        <w:rPr>
          <w:rFonts w:ascii="Arial" w:hAnsi="Arial" w:cs="Arial"/>
          <w:b/>
          <w:color w:val="auto"/>
          <w:sz w:val="20"/>
          <w:szCs w:val="20"/>
          <w:lang w:val="ru-RU"/>
        </w:rPr>
        <w:t>Меморандум</w:t>
      </w:r>
    </w:p>
    <w:p w14:paraId="236EB6AC" w14:textId="513C2174" w:rsidR="00196ED7" w:rsidRDefault="00196ED7" w:rsidP="00196ED7">
      <w:pPr>
        <w:pStyle w:val="NoParagraphStyle"/>
        <w:suppressAutoHyphens/>
        <w:spacing w:after="240" w:line="240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  <w:r>
        <w:rPr>
          <w:rFonts w:ascii="Arial" w:hAnsi="Arial" w:cs="Arial"/>
          <w:b/>
          <w:color w:val="auto"/>
          <w:sz w:val="20"/>
          <w:szCs w:val="20"/>
          <w:lang w:val="ru-RU"/>
        </w:rPr>
        <w:t>о результатах психофизиологического исследования сотрудников АО «ФИК «</w:t>
      </w:r>
      <w:r>
        <w:rPr>
          <w:rFonts w:ascii="Arial" w:hAnsi="Arial" w:cs="Arial"/>
          <w:b/>
          <w:color w:val="auto"/>
          <w:sz w:val="20"/>
          <w:szCs w:val="20"/>
          <w:lang w:val="ru-RU"/>
        </w:rPr>
        <w:t>А</w:t>
      </w:r>
      <w:r>
        <w:rPr>
          <w:rFonts w:ascii="Arial" w:hAnsi="Arial" w:cs="Arial"/>
          <w:b/>
          <w:color w:val="auto"/>
          <w:sz w:val="20"/>
          <w:szCs w:val="20"/>
          <w:lang w:val="ru-RU"/>
        </w:rPr>
        <w:t>» и ТОО «ЧОО «</w:t>
      </w:r>
      <w:r>
        <w:rPr>
          <w:rFonts w:ascii="Arial" w:hAnsi="Arial" w:cs="Arial"/>
          <w:b/>
          <w:color w:val="auto"/>
          <w:sz w:val="20"/>
          <w:szCs w:val="20"/>
          <w:lang w:val="ru-RU"/>
        </w:rPr>
        <w:t>А-С</w:t>
      </w:r>
      <w:r>
        <w:rPr>
          <w:rFonts w:ascii="Arial" w:hAnsi="Arial" w:cs="Arial"/>
          <w:b/>
          <w:color w:val="auto"/>
          <w:sz w:val="20"/>
          <w:szCs w:val="20"/>
          <w:lang w:val="ru-RU"/>
        </w:rPr>
        <w:t>», проведенного в рамках служебного расследования причин невязки металлургического баланса по золоту в период с 2014 по 2016 года</w:t>
      </w:r>
    </w:p>
    <w:p w14:paraId="6962A765" w14:textId="77777777" w:rsidR="00196ED7" w:rsidRDefault="00196ED7" w:rsidP="00196ED7">
      <w:pPr>
        <w:pStyle w:val="NoParagraphStyle"/>
        <w:suppressAutoHyphens/>
        <w:spacing w:before="24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июне-июле 2016 года были обследованы 19 сотрудников </w:t>
      </w:r>
      <w:r>
        <w:rPr>
          <w:rFonts w:ascii="Arial" w:hAnsi="Arial" w:cs="Arial"/>
          <w:color w:val="auto"/>
          <w:sz w:val="20"/>
          <w:szCs w:val="20"/>
          <w:lang w:val="ru-RU"/>
        </w:rPr>
        <w:t>АО «ФИК «А» (14 человек) и ТОО «ЧОО «АС» (5 человек)</w:t>
      </w:r>
      <w:r>
        <w:rPr>
          <w:rFonts w:ascii="Arial" w:hAnsi="Arial" w:cs="Arial"/>
          <w:sz w:val="20"/>
          <w:szCs w:val="20"/>
          <w:lang w:val="ru-RU"/>
        </w:rPr>
        <w:t xml:space="preserve"> в рамках служебного расследования 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причин невязки металлургического баланса по золоту </w:t>
      </w:r>
      <w:proofErr w:type="gramStart"/>
      <w:r>
        <w:rPr>
          <w:rFonts w:ascii="Arial" w:hAnsi="Arial" w:cs="Arial"/>
          <w:color w:val="auto"/>
          <w:sz w:val="20"/>
          <w:szCs w:val="20"/>
          <w:lang w:val="ru-RU"/>
        </w:rPr>
        <w:t>2014-2016</w:t>
      </w:r>
      <w:proofErr w:type="gramEnd"/>
      <w:r>
        <w:rPr>
          <w:rFonts w:ascii="Arial" w:hAnsi="Arial" w:cs="Arial"/>
          <w:color w:val="auto"/>
          <w:sz w:val="20"/>
          <w:szCs w:val="20"/>
          <w:lang w:val="ru-RU"/>
        </w:rPr>
        <w:t xml:space="preserve"> г.г.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8BCAF67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Преамбула  </w:t>
      </w:r>
    </w:p>
    <w:p w14:paraId="49A1B080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Исходя из полученной при подготовке к обследованию информации, были выдвинуты две наиболее вероятные версии причин сложившейся ситуации:</w:t>
      </w:r>
    </w:p>
    <w:p w14:paraId="5AFCED2C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     материальные потери связаны с систематическими кражами золотосодержащих материалов (далее – ЗСМ)</w:t>
      </w:r>
    </w:p>
    <w:p w14:paraId="3423A68C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   балансовая несводимость обусловлена нарушениями и отклонениями в технологических процессах </w:t>
      </w:r>
    </w:p>
    <w:p w14:paraId="56B92279" w14:textId="77777777" w:rsidR="00196ED7" w:rsidRP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176C5F17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Обобщенные результаты исследования</w:t>
      </w:r>
    </w:p>
    <w:p w14:paraId="3388B4BF" w14:textId="1CB633E9" w:rsidR="00196ED7" w:rsidRDefault="00196ED7" w:rsidP="00196ED7">
      <w:pPr>
        <w:pStyle w:val="NoParagraphStyle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Воровство ЗСМ.</w:t>
      </w:r>
      <w:r>
        <w:rPr>
          <w:rFonts w:ascii="Arial" w:hAnsi="Arial" w:cs="Arial"/>
          <w:sz w:val="20"/>
          <w:szCs w:val="20"/>
          <w:lang w:val="ru-RU"/>
        </w:rPr>
        <w:t xml:space="preserve"> Протестированный производственный персонал АО «ФИК «</w:t>
      </w:r>
      <w:r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>», имевший непосредственный доступ к ЗСМ (сплав Доре, катодный осадок, обогащенный уголь и элюат), и большая часть сотрудников ТОО «ЧОО «</w:t>
      </w:r>
      <w:r>
        <w:rPr>
          <w:rFonts w:ascii="Arial" w:hAnsi="Arial" w:cs="Arial"/>
          <w:sz w:val="20"/>
          <w:szCs w:val="20"/>
          <w:lang w:val="ru-RU"/>
        </w:rPr>
        <w:t>А-С</w:t>
      </w:r>
      <w:r>
        <w:rPr>
          <w:rFonts w:ascii="Arial" w:hAnsi="Arial" w:cs="Arial"/>
          <w:sz w:val="20"/>
          <w:szCs w:val="20"/>
          <w:lang w:val="ru-RU"/>
        </w:rPr>
        <w:t>» оказались непричастными к его воровству. При этом установлено, что потенциальные риски криминальных потерь ЗСМ являются актуальными, т.к. в ходе ПФИ выяснилось, что часть сотрудников (плавильщики, вахтовые технологи, директор СОБ и охранники</w:t>
      </w:r>
      <w:proofErr w:type="gramStart"/>
      <w:r>
        <w:rPr>
          <w:rFonts w:ascii="Arial" w:hAnsi="Arial" w:cs="Arial"/>
          <w:sz w:val="20"/>
          <w:szCs w:val="20"/>
          <w:lang w:val="ru-RU"/>
        </w:rPr>
        <w:t>),  подвергается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и противостоит серьезному криминогенному давлению со стороны криминалитета и представителей правоохранительных органов г. Семей. Так, на директора СОБ </w:t>
      </w:r>
      <w:r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 xml:space="preserve"> М.Ю. неоднократно «выходили бандиты, заручившиеся поддержкой начальника криминальной милиции, и, не стесняясь, давали указание снять неугодного им плавильщика и поставить на эту должность своего человека», открыто «обещали долю». Технологический персонал, признавая факты криминогенного давления, в ряде случаев категорически отказывался называть эксперту установочные данные лиц, оказывающих подобное давление, ссылаясь на страх за свою жизнь и безопасность семьи. Оба плавильщика и вахтовый технолог декларировали отсутствие желания «продолжать в таких условиях» свою трудовую деятельность. Вместе с этим, подтвердились результаты ранее проведенного ПФИ о совершении систематических краж ЗСМ до января 2015 года, организованных </w:t>
      </w:r>
      <w:r>
        <w:rPr>
          <w:rFonts w:ascii="Arial" w:hAnsi="Arial" w:cs="Arial"/>
          <w:sz w:val="20"/>
          <w:szCs w:val="20"/>
          <w:lang w:val="ru-RU"/>
        </w:rPr>
        <w:t>К</w:t>
      </w:r>
      <w:r>
        <w:rPr>
          <w:rFonts w:ascii="Arial" w:hAnsi="Arial" w:cs="Arial"/>
          <w:sz w:val="20"/>
          <w:szCs w:val="20"/>
          <w:lang w:val="ru-RU"/>
        </w:rPr>
        <w:t xml:space="preserve"> Д.Т., предшественником действующего директора СОБ. Часть лиц напрямую указывают на него, как на организатора преступной схемы, а, один из опрошенных сотрудников охраны письменно признался в соучастии. </w:t>
      </w:r>
    </w:p>
    <w:p w14:paraId="1E8AD07E" w14:textId="77777777" w:rsidR="00196ED7" w:rsidRDefault="00196ED7" w:rsidP="00196ED7">
      <w:pPr>
        <w:pStyle w:val="NoParagraphStyle"/>
        <w:suppressAutoHyphens/>
        <w:spacing w:line="240" w:lineRule="auto"/>
        <w:ind w:left="705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Причастности сотрудников к совершению краж ЗСМ в 2016 году на момент исследования и на основе протестированной выборки выявлено не было.</w:t>
      </w:r>
    </w:p>
    <w:p w14:paraId="4E6D21BA" w14:textId="77777777" w:rsidR="00196ED7" w:rsidRDefault="00196ED7" w:rsidP="00196ED7">
      <w:pPr>
        <w:pStyle w:val="NoParagraphStyle"/>
        <w:numPr>
          <w:ilvl w:val="0"/>
          <w:numId w:val="1"/>
        </w:numPr>
        <w:suppressAutoHyphens/>
        <w:spacing w:before="24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Нарушения технологии. </w:t>
      </w:r>
      <w:r>
        <w:rPr>
          <w:rFonts w:ascii="Arial" w:hAnsi="Arial" w:cs="Arial"/>
          <w:sz w:val="20"/>
          <w:szCs w:val="20"/>
          <w:lang w:val="ru-RU"/>
        </w:rPr>
        <w:t>Подавляющее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большинство респондентов, опрошенных методом фокусированного интервью, независимо друг от друга сошлись в мнении о «технологичном» характере потерь золота при производстве.  Полученные данные позволили классифицировать причины потерь в следующей последовательности:</w:t>
      </w:r>
    </w:p>
    <w:p w14:paraId="4BB3C000" w14:textId="77777777" w:rsidR="00196ED7" w:rsidRDefault="00196ED7" w:rsidP="00196ED7">
      <w:pPr>
        <w:pStyle w:val="a3"/>
        <w:numPr>
          <w:ilvl w:val="0"/>
          <w:numId w:val="2"/>
        </w:numPr>
        <w:spacing w:after="0" w:line="240" w:lineRule="auto"/>
        <w:ind w:left="705" w:firstLine="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причины потерь, связанных с естественными факторами:</w:t>
      </w:r>
    </w:p>
    <w:p w14:paraId="49D99B43" w14:textId="77777777" w:rsidR="00196ED7" w:rsidRDefault="00196ED7" w:rsidP="00196ED7">
      <w:pPr>
        <w:pStyle w:val="a3"/>
        <w:spacing w:after="0" w:line="240" w:lineRule="auto"/>
        <w:ind w:left="705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некорректный учёт потерь золота с верхним сливом противоточной декантации (ПТД);</w:t>
      </w:r>
    </w:p>
    <w:p w14:paraId="3C263C52" w14:textId="77777777" w:rsidR="00196ED7" w:rsidRDefault="00196ED7" w:rsidP="00196ED7">
      <w:pPr>
        <w:pStyle w:val="a3"/>
        <w:spacing w:after="0" w:line="240" w:lineRule="auto"/>
        <w:ind w:left="705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потери в «золотой комнате» (после технологических смывов через зумпф в </w:t>
      </w:r>
      <w:r>
        <w:rPr>
          <w:rFonts w:ascii="Arial" w:hAnsi="Arial" w:cs="Arial"/>
          <w:sz w:val="20"/>
          <w:szCs w:val="20"/>
          <w:lang w:val="en-US"/>
        </w:rPr>
        <w:t>CIL</w:t>
      </w:r>
      <w:r w:rsidRPr="00196E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твердые частицы не успевают осаждаться в отстойнике и соответственно уходят в цех, где на участке цианирования малые объёмы смывов золотой комнаты в потоке цианирования не фиксируются;  </w:t>
      </w:r>
    </w:p>
    <w:p w14:paraId="21E4ED9B" w14:textId="77777777" w:rsidR="00196ED7" w:rsidRDefault="00196ED7" w:rsidP="00196ED7">
      <w:pPr>
        <w:pStyle w:val="a3"/>
        <w:spacing w:after="0" w:line="240" w:lineRule="auto"/>
        <w:ind w:left="705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некорректный учёт весовых характеристик входящей руды на завод (производиться конвейерными весами, калибровка которых производится на основании автомобильных весов, имеющих меньший класс точности);</w:t>
      </w:r>
    </w:p>
    <w:p w14:paraId="667C28A6" w14:textId="77777777" w:rsidR="00196ED7" w:rsidRDefault="00196ED7" w:rsidP="00196ED7">
      <w:pPr>
        <w:pStyle w:val="a3"/>
        <w:spacing w:after="0" w:line="240" w:lineRule="auto"/>
        <w:ind w:left="705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использование в более ранние периоды в контрактной лаборатории корректирующих коэффициентов к результатам анализов;</w:t>
      </w:r>
    </w:p>
    <w:p w14:paraId="4430643C" w14:textId="77777777" w:rsidR="00196ED7" w:rsidRDefault="00196ED7" w:rsidP="00196ED7">
      <w:pPr>
        <w:ind w:left="705" w:firstLine="4"/>
        <w:jc w:val="both"/>
      </w:pPr>
      <w:r>
        <w:t>- «сечки» на хвосты (потери мелкой угольной пыли с содержанием золота высокой плотности);</w:t>
      </w:r>
    </w:p>
    <w:p w14:paraId="0F823C46" w14:textId="77777777" w:rsidR="00196ED7" w:rsidRDefault="00196ED7" w:rsidP="00196ED7">
      <w:pPr>
        <w:ind w:left="705" w:firstLine="4"/>
        <w:jc w:val="both"/>
      </w:pPr>
      <w:r>
        <w:t>- периодические аварийные потери на участке флотации;</w:t>
      </w:r>
    </w:p>
    <w:p w14:paraId="124F012E" w14:textId="77777777" w:rsidR="00196ED7" w:rsidRDefault="00196ED7" w:rsidP="00196ED7">
      <w:pPr>
        <w:ind w:left="705" w:firstLine="4"/>
        <w:jc w:val="both"/>
      </w:pPr>
      <w:r>
        <w:t>- потери, обусловленные болезнью бактерий участка BIO</w:t>
      </w:r>
      <w:r>
        <w:rPr>
          <w:lang w:val="en-US"/>
        </w:rPr>
        <w:t>X</w:t>
      </w:r>
      <w:r>
        <w:t>, как следствие недозагрузка системы рудой;</w:t>
      </w:r>
    </w:p>
    <w:p w14:paraId="7BECFA94" w14:textId="77777777" w:rsidR="00196ED7" w:rsidRDefault="00196ED7" w:rsidP="00196ED7">
      <w:pPr>
        <w:ind w:left="705" w:firstLine="4"/>
        <w:jc w:val="both"/>
      </w:pPr>
      <w:r>
        <w:t>- потери, происходящие при чанном выщелачивании в нерастворении твердого золота в пульпе;</w:t>
      </w:r>
    </w:p>
    <w:p w14:paraId="4D55FACC" w14:textId="77777777" w:rsidR="00196ED7" w:rsidRDefault="00196ED7" w:rsidP="00196ED7">
      <w:pPr>
        <w:ind w:left="705" w:firstLine="4"/>
        <w:jc w:val="both"/>
      </w:pPr>
      <w:r>
        <w:t>- потери обусловленные, перекачкой технологических промышленных продуктов и хвостов (до 2015 года), минуя пробоотборники (один из вертикальных насосов под участком флотации был заведен в хвостовой зумпф, минуя пробоотборник);</w:t>
      </w:r>
    </w:p>
    <w:p w14:paraId="768347D6" w14:textId="77777777" w:rsidR="00196ED7" w:rsidRDefault="00196ED7" w:rsidP="00196ED7">
      <w:pPr>
        <w:ind w:left="705" w:firstLine="4"/>
        <w:jc w:val="both"/>
      </w:pPr>
      <w:r>
        <w:t xml:space="preserve">- потери при дроблении руды в «непогодных условиях» (ветер, буран, вьюга) и т.д. </w:t>
      </w:r>
    </w:p>
    <w:p w14:paraId="2567D3E1" w14:textId="77777777" w:rsidR="00196ED7" w:rsidRDefault="00196ED7" w:rsidP="00196ED7">
      <w:pPr>
        <w:pStyle w:val="a3"/>
        <w:numPr>
          <w:ilvl w:val="0"/>
          <w:numId w:val="2"/>
        </w:numPr>
        <w:spacing w:after="0" w:line="240" w:lineRule="auto"/>
        <w:ind w:left="705" w:firstLine="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причины потерь, обусловленные человеческим фактором:</w:t>
      </w:r>
    </w:p>
    <w:p w14:paraId="1B383163" w14:textId="77777777" w:rsidR="00196ED7" w:rsidRDefault="00196ED7" w:rsidP="00196ED7">
      <w:pPr>
        <w:pStyle w:val="a3"/>
        <w:spacing w:after="0" w:line="240" w:lineRule="auto"/>
        <w:ind w:left="705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недолив реагента во флотацию, приводящий к снижению содержания золота в концентрате;</w:t>
      </w:r>
    </w:p>
    <w:p w14:paraId="55CB63DA" w14:textId="77777777" w:rsidR="00196ED7" w:rsidRDefault="00196ED7" w:rsidP="00196ED7">
      <w:pPr>
        <w:pStyle w:val="a3"/>
        <w:spacing w:after="0" w:line="240" w:lineRule="auto"/>
        <w:ind w:left="705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участке флотации не выдерживается корректный уровень PH;</w:t>
      </w:r>
    </w:p>
    <w:p w14:paraId="76C28792" w14:textId="77777777" w:rsidR="00196ED7" w:rsidRDefault="00196ED7" w:rsidP="00196ED7">
      <w:pPr>
        <w:ind w:left="705" w:firstLine="4"/>
        <w:jc w:val="both"/>
      </w:pPr>
      <w:r>
        <w:t xml:space="preserve">- недолив цианида на участке цианирования; </w:t>
      </w:r>
    </w:p>
    <w:p w14:paraId="1FD7E307" w14:textId="77777777" w:rsidR="00196ED7" w:rsidRDefault="00196ED7" w:rsidP="00196ED7">
      <w:pPr>
        <w:ind w:left="705" w:firstLine="4"/>
        <w:jc w:val="both"/>
      </w:pPr>
      <w:r>
        <w:t>- потеря в жидкой фазе растворенного золота при недостаточной сорбции активированного угля;</w:t>
      </w:r>
    </w:p>
    <w:p w14:paraId="382D481A" w14:textId="77777777" w:rsidR="00196ED7" w:rsidRDefault="00196ED7" w:rsidP="00196ED7">
      <w:pPr>
        <w:pStyle w:val="a3"/>
        <w:spacing w:after="0" w:line="240" w:lineRule="auto"/>
        <w:ind w:left="705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 выдерживаются ситовые характеристики на 1, 2 и </w:t>
      </w:r>
      <w:proofErr w:type="gramStart"/>
      <w:r>
        <w:rPr>
          <w:rFonts w:ascii="Arial" w:hAnsi="Arial" w:cs="Arial"/>
          <w:sz w:val="20"/>
          <w:szCs w:val="20"/>
        </w:rPr>
        <w:t>3-ей</w:t>
      </w:r>
      <w:proofErr w:type="gramEnd"/>
      <w:r>
        <w:rPr>
          <w:rFonts w:ascii="Arial" w:hAnsi="Arial" w:cs="Arial"/>
          <w:sz w:val="20"/>
          <w:szCs w:val="20"/>
        </w:rPr>
        <w:t xml:space="preserve"> стадии измельчения;</w:t>
      </w:r>
    </w:p>
    <w:p w14:paraId="3C33EF01" w14:textId="77777777" w:rsidR="00196ED7" w:rsidRDefault="00196ED7" w:rsidP="00196ED7">
      <w:pPr>
        <w:pStyle w:val="a3"/>
        <w:spacing w:after="0" w:line="240" w:lineRule="auto"/>
        <w:ind w:left="705"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некорректная подача флокулянта на участки сгущения ПТД, что приводит к потере золота концентрата </w:t>
      </w:r>
      <w:proofErr w:type="gramStart"/>
      <w:r>
        <w:rPr>
          <w:rFonts w:ascii="Arial" w:hAnsi="Arial" w:cs="Arial"/>
          <w:sz w:val="20"/>
          <w:szCs w:val="20"/>
        </w:rPr>
        <w:t>в  верхнем</w:t>
      </w:r>
      <w:proofErr w:type="gramEnd"/>
      <w:r>
        <w:rPr>
          <w:rFonts w:ascii="Arial" w:hAnsi="Arial" w:cs="Arial"/>
          <w:sz w:val="20"/>
          <w:szCs w:val="20"/>
        </w:rPr>
        <w:t xml:space="preserve"> сливе;</w:t>
      </w:r>
    </w:p>
    <w:p w14:paraId="2F64BFDF" w14:textId="77777777" w:rsidR="00196ED7" w:rsidRDefault="00196ED7" w:rsidP="00196ED7">
      <w:pPr>
        <w:ind w:left="703" w:firstLine="6"/>
        <w:jc w:val="both"/>
      </w:pPr>
      <w:r>
        <w:t>- не выдерживается температурный режим в колоннах элюирования, потоки на десорбции, концентрация щелочи в растворе элюата, плотность в сгустителях и т.д.</w:t>
      </w:r>
    </w:p>
    <w:p w14:paraId="4721A4EE" w14:textId="77777777" w:rsidR="00196ED7" w:rsidRDefault="00196ED7" w:rsidP="00196ED7">
      <w:pPr>
        <w:ind w:left="703" w:firstLine="6"/>
        <w:jc w:val="both"/>
      </w:pPr>
    </w:p>
    <w:p w14:paraId="70C10CE9" w14:textId="77777777" w:rsidR="00196ED7" w:rsidRDefault="00196ED7" w:rsidP="00196ED7">
      <w:pPr>
        <w:ind w:left="703" w:firstLine="6"/>
        <w:jc w:val="both"/>
      </w:pPr>
      <w:r>
        <w:rPr>
          <w:b/>
        </w:rPr>
        <w:t>Дополнительные системные проблемы, выявленные в ходе исследования</w:t>
      </w:r>
    </w:p>
    <w:p w14:paraId="3919274E" w14:textId="77777777" w:rsidR="00196ED7" w:rsidRDefault="00196ED7" w:rsidP="00196ED7">
      <w:pPr>
        <w:numPr>
          <w:ilvl w:val="0"/>
          <w:numId w:val="3"/>
        </w:numPr>
        <w:spacing w:before="240"/>
        <w:jc w:val="both"/>
      </w:pPr>
      <w:r>
        <w:rPr>
          <w:b/>
        </w:rPr>
        <w:t xml:space="preserve">Систематическое нарушение технологических регламентов. </w:t>
      </w:r>
      <w:r>
        <w:t xml:space="preserve">Половина обследованного персонала открыто призналась в некритичном </w:t>
      </w:r>
      <w:proofErr w:type="gramStart"/>
      <w:r>
        <w:t>отношении  к</w:t>
      </w:r>
      <w:proofErr w:type="gramEnd"/>
      <w:r>
        <w:t xml:space="preserve"> нарушению технологических инструкций, допускает попустительское отношение к выполнению своих прямых обязанностей, на предприятии фактически отсутствует необходимая трудовая дисциплина на технологически важных и ответственных участках. Так контролеры-пробоотборщики ОТК и аппаратчики-гидрометаллурги CIL не скрывают фактов фальсификации замеров отобранных проб «… из лени пробы по цианиду, кислороду, PH вообще не брал, а в журнал писал среднестатистические показатели, все делают так…», «... бывает, что пропускаю периодичность замера, тогда пишу что-нибудь среднее, потом все равно к концу смены наберу необходимое…».  </w:t>
      </w:r>
    </w:p>
    <w:p w14:paraId="15059B1A" w14:textId="77777777" w:rsidR="00196ED7" w:rsidRDefault="00196ED7" w:rsidP="00196ED7">
      <w:pPr>
        <w:numPr>
          <w:ilvl w:val="0"/>
          <w:numId w:val="3"/>
        </w:numPr>
        <w:spacing w:before="240"/>
        <w:jc w:val="both"/>
      </w:pPr>
      <w:r>
        <w:rPr>
          <w:b/>
        </w:rPr>
        <w:t xml:space="preserve">Дефицит профессиональных кадров. </w:t>
      </w:r>
      <w:r>
        <w:t xml:space="preserve">Кадровый голод, вызванный сокращением производственного персонала, обусловил низкий уровень взаимозаменяемости сотрудников на всех переделах производства сплава Доре.  Таким </w:t>
      </w:r>
      <w:proofErr w:type="gramStart"/>
      <w:r>
        <w:t>образом,  сотрудник</w:t>
      </w:r>
      <w:proofErr w:type="gramEnd"/>
      <w:r>
        <w:t xml:space="preserve">, совмещающий несколько функционалов, оказывается неспособным даже на минимально достаточном уровне выполнять возложенные на него обязанности. </w:t>
      </w:r>
      <w:r>
        <w:rPr>
          <w:rFonts w:cs="Times New Roman"/>
        </w:rPr>
        <w:t>Машинист мельницы сгущения:</w:t>
      </w:r>
      <w:r>
        <w:t xml:space="preserve"> «…девчонки концентраты по цвету определяли, а я до сих пор в них путаюсь. Хотя я не однократно предупреждал, что я не знаю процесса флотации, но все равно, каждый раз меня сюда ставят. Работу выполняю на глаз, многих нюансов я не понимаю. А еще меня и плавить золото заставляют. И так у нас везде…».</w:t>
      </w:r>
    </w:p>
    <w:p w14:paraId="131BFE07" w14:textId="77777777" w:rsidR="00196ED7" w:rsidRDefault="00196ED7" w:rsidP="00196ED7">
      <w:pPr>
        <w:numPr>
          <w:ilvl w:val="0"/>
          <w:numId w:val="3"/>
        </w:numPr>
        <w:spacing w:before="240"/>
        <w:jc w:val="both"/>
      </w:pPr>
      <w:r>
        <w:rPr>
          <w:b/>
        </w:rPr>
        <w:t xml:space="preserve">Нарушение принципа «нулевой терпимости» к злоупотреблениям. </w:t>
      </w:r>
      <w:r>
        <w:t xml:space="preserve">Двое из запланированных на ПФИ сотрудников (кладовщик и директор металлургического завода) были протестированы в 2014 году и не рекомендованы к сотрудничеству. </w:t>
      </w:r>
      <w:proofErr w:type="gramStart"/>
      <w:r>
        <w:t>Не смотря</w:t>
      </w:r>
      <w:proofErr w:type="gramEnd"/>
      <w:r>
        <w:t xml:space="preserve"> на референции УВК, оба продолжили свою трудовую деятельность в компании. Игнорирование результатов, </w:t>
      </w:r>
      <w:proofErr w:type="gramStart"/>
      <w:r>
        <w:t>в конечном итоге</w:t>
      </w:r>
      <w:proofErr w:type="gramEnd"/>
      <w:r>
        <w:t>, привело к предсказуемым негативным последствиям: кладовщик продолжил свою противоправную деятельность в компании, связавшись с представителями криминалитета г. Семей, а подозреваемый в краже ЗСМ директор завода от прохождения ПФИ отказался, таким образом, косвенно признав рецидивирующий характер коррупционной составляющей в своей деятельности.</w:t>
      </w:r>
    </w:p>
    <w:p w14:paraId="33ED1442" w14:textId="77777777" w:rsidR="00196ED7" w:rsidRDefault="00196ED7" w:rsidP="00196ED7">
      <w:pPr>
        <w:pStyle w:val="NoParagraphStyle"/>
        <w:suppressAutoHyphens/>
        <w:spacing w:before="24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Выводы</w:t>
      </w:r>
      <w:r>
        <w:rPr>
          <w:rFonts w:ascii="Arial" w:hAnsi="Arial" w:cs="Arial"/>
          <w:sz w:val="20"/>
          <w:szCs w:val="20"/>
          <w:lang w:val="ru-RU"/>
        </w:rPr>
        <w:t>: Исходя из полученной и обработанной в ходе исследования информации можно сделать следующие выводы:</w:t>
      </w:r>
    </w:p>
    <w:p w14:paraId="292EE6EB" w14:textId="237DE1C7" w:rsidR="00196ED7" w:rsidRDefault="00196ED7" w:rsidP="00196ED7">
      <w:pPr>
        <w:pStyle w:val="NoParagraphStyle"/>
        <w:numPr>
          <w:ilvl w:val="0"/>
          <w:numId w:val="4"/>
        </w:numPr>
        <w:suppressAutoHyphens/>
        <w:spacing w:before="24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 подтверждается версия о криминогенном характере потерь ЗМЗ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в течении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2016 г. и на основе протестированной выборки работников. При этом для полного исключения влияния данного фактора и профилактики криминальных рисков рекомендуется продолжить ПФИ в отношении как производственного персонала АО «ФИК «</w:t>
      </w:r>
      <w:r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>», так и сотрудников охраны ТОО «ЧОО «</w:t>
      </w:r>
      <w:r>
        <w:rPr>
          <w:rFonts w:ascii="Arial" w:hAnsi="Arial" w:cs="Arial"/>
          <w:sz w:val="20"/>
          <w:szCs w:val="20"/>
          <w:lang w:val="ru-RU"/>
        </w:rPr>
        <w:t>А-С</w:t>
      </w:r>
      <w:r>
        <w:rPr>
          <w:rFonts w:ascii="Arial" w:hAnsi="Arial" w:cs="Arial"/>
          <w:sz w:val="20"/>
          <w:szCs w:val="20"/>
          <w:lang w:val="ru-RU"/>
        </w:rPr>
        <w:t>»</w:t>
      </w:r>
    </w:p>
    <w:p w14:paraId="075D8F08" w14:textId="77777777" w:rsidR="00196ED7" w:rsidRDefault="00196ED7" w:rsidP="00196ED7">
      <w:pPr>
        <w:pStyle w:val="NoParagraphStyle"/>
        <w:numPr>
          <w:ilvl w:val="0"/>
          <w:numId w:val="4"/>
        </w:numPr>
        <w:suppressAutoHyphens/>
        <w:spacing w:before="24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Ключевыми факторами балансовой несводимости являются множественные и многообразные нарушениями в технологических производственных процессах, требующих системного экспертного аудита и приоритетного внимания со стороны руководителей компании, отвечающих за технологию.</w:t>
      </w:r>
    </w:p>
    <w:p w14:paraId="2B44C83A" w14:textId="77777777" w:rsidR="00196ED7" w:rsidRDefault="00196ED7" w:rsidP="00196ED7">
      <w:pPr>
        <w:pStyle w:val="NoParagraphStyle"/>
        <w:suppressAutoHyphens/>
        <w:spacing w:line="240" w:lineRule="auto"/>
        <w:ind w:left="720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tbl>
      <w:tblPr>
        <w:tblW w:w="31300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686"/>
        <w:gridCol w:w="3686"/>
        <w:gridCol w:w="3686"/>
        <w:gridCol w:w="3686"/>
        <w:gridCol w:w="3686"/>
        <w:gridCol w:w="3686"/>
        <w:gridCol w:w="3686"/>
        <w:gridCol w:w="2437"/>
        <w:gridCol w:w="3061"/>
      </w:tblGrid>
      <w:tr w:rsidR="00196ED7" w14:paraId="7AFAC8FE" w14:textId="77777777" w:rsidTr="00196ED7">
        <w:trPr>
          <w:trHeight w:val="1435"/>
        </w:trPr>
        <w:tc>
          <w:tcPr>
            <w:tcW w:w="3686" w:type="dxa"/>
          </w:tcPr>
          <w:p w14:paraId="4485FF72" w14:textId="14F220B4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63A5910D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61BA9B5A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18.07.2016</w:t>
            </w:r>
          </w:p>
        </w:tc>
        <w:tc>
          <w:tcPr>
            <w:tcW w:w="3686" w:type="dxa"/>
          </w:tcPr>
          <w:p w14:paraId="4EE6C0A8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0579DBA1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Абрамов Р.И.</w:t>
            </w:r>
          </w:p>
          <w:p w14:paraId="2EEB66DD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7D5E8AE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44C1E20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72C6CF7" w14:textId="5E696A2E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7E5D3A89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599B8EE2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Управления внутреннего контроля  </w:t>
            </w:r>
          </w:p>
          <w:p w14:paraId="3FC54A58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EC1EE6F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40E4D158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Управления внутреннего контроля</w:t>
            </w:r>
          </w:p>
        </w:tc>
        <w:tc>
          <w:tcPr>
            <w:tcW w:w="3686" w:type="dxa"/>
          </w:tcPr>
          <w:p w14:paraId="253FFF94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233C85BE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63E38D9B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Абрамов Р.И.</w:t>
            </w:r>
          </w:p>
          <w:p w14:paraId="2BBC6D5E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6BC84DD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Попов А.А.</w:t>
            </w:r>
          </w:p>
          <w:p w14:paraId="39420AB2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5A1249C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02063544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433614D8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Управления внутреннего контроля  </w:t>
            </w:r>
          </w:p>
          <w:p w14:paraId="0CCA8395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0269ED4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74A81197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Управления внутреннего контроля  </w:t>
            </w:r>
          </w:p>
          <w:p w14:paraId="6EB7C13E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A7D5D3D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37" w:type="dxa"/>
          </w:tcPr>
          <w:p w14:paraId="566EAE6C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61" w:type="dxa"/>
          </w:tcPr>
          <w:p w14:paraId="6F264717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A821FBD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Абрамов Р.И.</w:t>
            </w:r>
          </w:p>
          <w:p w14:paraId="5D085C2B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4C4B48A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Попов А.А.</w:t>
            </w:r>
          </w:p>
          <w:p w14:paraId="294EE096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20A94C9" w14:textId="77777777" w:rsidR="00196ED7" w:rsidRDefault="00196ED7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236CF7B3" w14:textId="5E732B71" w:rsidR="00196ED7" w:rsidRPr="007D05D7" w:rsidRDefault="00196ED7" w:rsidP="00196ED7">
      <w:pPr>
        <w:pStyle w:val="NoParagraphStyle"/>
        <w:suppressAutoHyphens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7D05D7">
        <w:rPr>
          <w:rFonts w:ascii="Arial" w:hAnsi="Arial" w:cs="Arial"/>
          <w:b/>
          <w:color w:val="auto"/>
          <w:sz w:val="20"/>
          <w:szCs w:val="20"/>
          <w:lang w:val="ru-RU"/>
        </w:rPr>
        <w:lastRenderedPageBreak/>
        <w:t>Меморандум</w:t>
      </w:r>
      <w:r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  <w:lang w:val="ru-RU"/>
        </w:rPr>
        <w:t>2</w:t>
      </w:r>
    </w:p>
    <w:p w14:paraId="266753DD" w14:textId="77777777" w:rsidR="00196ED7" w:rsidRPr="003313BF" w:rsidRDefault="00196ED7" w:rsidP="00196ED7">
      <w:pPr>
        <w:pStyle w:val="NoParagraphStyle"/>
        <w:suppressAutoHyphens/>
        <w:spacing w:after="240" w:line="240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  <w:r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о результатах дополнительной серии психофизиологических исследований сотрудников АО «ФИК «Алел», проведенных в рамках служебного расследования причин невязки металлургического баланса по золоту в период с </w:t>
      </w:r>
      <w:proofErr w:type="gramStart"/>
      <w:r>
        <w:rPr>
          <w:rFonts w:ascii="Arial" w:hAnsi="Arial" w:cs="Arial"/>
          <w:b/>
          <w:color w:val="auto"/>
          <w:sz w:val="20"/>
          <w:szCs w:val="20"/>
          <w:lang w:val="ru-RU"/>
        </w:rPr>
        <w:t>2014-2016</w:t>
      </w:r>
      <w:proofErr w:type="gramEnd"/>
      <w:r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 гг.</w:t>
      </w:r>
    </w:p>
    <w:p w14:paraId="650903D9" w14:textId="70422DA9" w:rsidR="00196ED7" w:rsidRPr="007C4386" w:rsidRDefault="00196ED7" w:rsidP="00196ED7">
      <w:pPr>
        <w:pStyle w:val="NoParagraphStyle"/>
        <w:suppressAutoHyphens/>
        <w:spacing w:before="24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D5DB8">
        <w:rPr>
          <w:rFonts w:ascii="Arial" w:hAnsi="Arial" w:cs="Arial"/>
          <w:sz w:val="20"/>
          <w:szCs w:val="20"/>
          <w:lang w:val="ru-RU"/>
        </w:rPr>
        <w:t xml:space="preserve">В </w:t>
      </w:r>
      <w:r>
        <w:rPr>
          <w:rFonts w:ascii="Arial" w:hAnsi="Arial" w:cs="Arial"/>
          <w:sz w:val="20"/>
          <w:szCs w:val="20"/>
          <w:lang w:val="ru-RU"/>
        </w:rPr>
        <w:t>сентябре-октябре</w:t>
      </w:r>
      <w:r w:rsidRPr="00DD5DB8">
        <w:rPr>
          <w:rFonts w:ascii="Arial" w:hAnsi="Arial" w:cs="Arial"/>
          <w:sz w:val="20"/>
          <w:szCs w:val="20"/>
          <w:lang w:val="ru-RU"/>
        </w:rPr>
        <w:t xml:space="preserve"> 2016 года были обследованы </w:t>
      </w:r>
      <w:r>
        <w:rPr>
          <w:rFonts w:ascii="Arial" w:hAnsi="Arial" w:cs="Arial"/>
          <w:sz w:val="20"/>
          <w:szCs w:val="20"/>
          <w:lang w:val="ru-RU"/>
        </w:rPr>
        <w:t>1</w:t>
      </w:r>
      <w:r w:rsidRPr="002A10F5">
        <w:rPr>
          <w:rFonts w:ascii="Arial" w:hAnsi="Arial" w:cs="Arial"/>
          <w:sz w:val="20"/>
          <w:szCs w:val="20"/>
          <w:lang w:val="ru-RU"/>
        </w:rPr>
        <w:t>8</w:t>
      </w:r>
      <w:r w:rsidRPr="00DD5D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сотрудников</w:t>
      </w:r>
      <w:r w:rsidRPr="00693732">
        <w:rPr>
          <w:rFonts w:ascii="Arial" w:hAnsi="Arial" w:cs="Arial"/>
          <w:sz w:val="20"/>
          <w:szCs w:val="20"/>
          <w:lang w:val="ru-RU"/>
        </w:rPr>
        <w:t xml:space="preserve"> </w:t>
      </w:r>
      <w:r w:rsidRPr="00864256">
        <w:rPr>
          <w:rFonts w:ascii="Arial" w:hAnsi="Arial" w:cs="Arial"/>
          <w:color w:val="auto"/>
          <w:sz w:val="20"/>
          <w:szCs w:val="20"/>
          <w:lang w:val="ru-RU"/>
        </w:rPr>
        <w:t>АО «ФИК «</w:t>
      </w:r>
      <w:r>
        <w:rPr>
          <w:rFonts w:ascii="Arial" w:hAnsi="Arial" w:cs="Arial"/>
          <w:color w:val="auto"/>
          <w:sz w:val="20"/>
          <w:szCs w:val="20"/>
          <w:lang w:val="ru-RU"/>
        </w:rPr>
        <w:t>А</w:t>
      </w:r>
      <w:r w:rsidRPr="00864256">
        <w:rPr>
          <w:rFonts w:ascii="Arial" w:hAnsi="Arial" w:cs="Arial"/>
          <w:color w:val="auto"/>
          <w:sz w:val="20"/>
          <w:szCs w:val="20"/>
          <w:lang w:val="ru-RU"/>
        </w:rPr>
        <w:t>»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DD5DB8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 рамках служебного</w:t>
      </w:r>
      <w:r w:rsidRPr="00DD5D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расследования </w:t>
      </w:r>
      <w:r w:rsidRPr="00864256">
        <w:rPr>
          <w:rFonts w:ascii="Arial" w:hAnsi="Arial" w:cs="Arial"/>
          <w:color w:val="auto"/>
          <w:sz w:val="20"/>
          <w:szCs w:val="20"/>
          <w:lang w:val="ru-RU"/>
        </w:rPr>
        <w:t>причин не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вязки металлургического баланса по </w:t>
      </w:r>
      <w:r w:rsidRPr="00864256">
        <w:rPr>
          <w:rFonts w:ascii="Arial" w:hAnsi="Arial" w:cs="Arial"/>
          <w:color w:val="auto"/>
          <w:sz w:val="20"/>
          <w:szCs w:val="20"/>
          <w:lang w:val="ru-RU"/>
        </w:rPr>
        <w:t>золот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у </w:t>
      </w:r>
      <w:proofErr w:type="gramStart"/>
      <w:r>
        <w:rPr>
          <w:rFonts w:ascii="Arial" w:hAnsi="Arial" w:cs="Arial"/>
          <w:color w:val="auto"/>
          <w:sz w:val="20"/>
          <w:szCs w:val="20"/>
          <w:lang w:val="ru-RU"/>
        </w:rPr>
        <w:t>2014-2016</w:t>
      </w:r>
      <w:proofErr w:type="gramEnd"/>
      <w:r>
        <w:rPr>
          <w:rFonts w:ascii="Arial" w:hAnsi="Arial" w:cs="Arial"/>
          <w:color w:val="auto"/>
          <w:sz w:val="20"/>
          <w:szCs w:val="20"/>
          <w:lang w:val="ru-RU"/>
        </w:rPr>
        <w:t xml:space="preserve"> гг.</w:t>
      </w:r>
      <w:r w:rsidRPr="00DD5DB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5E58F60" w14:textId="77777777" w:rsidR="00196ED7" w:rsidRPr="00B5152E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72BA0CCB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Преамбула  </w:t>
      </w:r>
    </w:p>
    <w:p w14:paraId="6689CD6B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Исходя из полученной при подготовке к обследованию информации</w:t>
      </w:r>
      <w:r w:rsidRPr="008F7E6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 результатов первоначальной серии ПФИ, две наиболее вероятные версии причин сложившейся ситуации остались неизменными:</w:t>
      </w:r>
    </w:p>
    <w:p w14:paraId="4F9A5D82" w14:textId="77777777" w:rsidR="00196ED7" w:rsidRPr="0027595C" w:rsidRDefault="00196ED7" w:rsidP="00196ED7">
      <w:pPr>
        <w:pStyle w:val="NoParagraphStyle"/>
        <w:numPr>
          <w:ilvl w:val="0"/>
          <w:numId w:val="6"/>
        </w:numPr>
        <w:suppressAutoHyphens/>
        <w:spacing w:line="240" w:lineRule="auto"/>
        <w:jc w:val="both"/>
        <w:textAlignment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материальные потери связаны с возможными кражами золотосодержащих материалов (далее – ЗСМ)</w:t>
      </w:r>
    </w:p>
    <w:p w14:paraId="700223AF" w14:textId="77777777" w:rsidR="00196ED7" w:rsidRDefault="00196ED7" w:rsidP="00196ED7">
      <w:pPr>
        <w:pStyle w:val="NoParagraphStyle"/>
        <w:numPr>
          <w:ilvl w:val="0"/>
          <w:numId w:val="6"/>
        </w:numPr>
        <w:suppressAutoHyphens/>
        <w:spacing w:line="240" w:lineRule="auto"/>
        <w:jc w:val="both"/>
        <w:textAlignment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балансовая несводимость обусловлена нарушениями и отклонениями в технологических процессах </w:t>
      </w:r>
    </w:p>
    <w:p w14:paraId="1D1FDA27" w14:textId="77777777" w:rsidR="00196ED7" w:rsidRPr="00877544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A00BB18" w14:textId="77777777" w:rsidR="00196ED7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Обобщенные</w:t>
      </w:r>
      <w:r w:rsidRPr="00377D70">
        <w:rPr>
          <w:rFonts w:ascii="Arial" w:hAnsi="Arial" w:cs="Arial"/>
          <w:b/>
          <w:sz w:val="20"/>
          <w:szCs w:val="20"/>
          <w:lang w:val="ru-RU"/>
        </w:rPr>
        <w:t xml:space="preserve"> результаты исследования</w:t>
      </w:r>
    </w:p>
    <w:p w14:paraId="39167903" w14:textId="77777777" w:rsidR="00196ED7" w:rsidRPr="00377D70" w:rsidRDefault="00196ED7" w:rsidP="00196ED7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2E2D3425" w14:textId="77777777" w:rsidR="00196ED7" w:rsidRDefault="00196ED7" w:rsidP="00196ED7">
      <w:pPr>
        <w:pStyle w:val="NoParagraphStyle"/>
        <w:numPr>
          <w:ilvl w:val="0"/>
          <w:numId w:val="7"/>
        </w:numPr>
        <w:suppressAutoHyphens/>
        <w:spacing w:line="240" w:lineRule="auto"/>
        <w:jc w:val="both"/>
        <w:textAlignment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Воровство ЗСМ</w:t>
      </w:r>
      <w:r w:rsidRPr="00DD5DB8">
        <w:rPr>
          <w:rFonts w:ascii="Arial" w:hAnsi="Arial" w:cs="Arial"/>
          <w:b/>
          <w:sz w:val="20"/>
          <w:szCs w:val="20"/>
          <w:lang w:val="ru-RU"/>
        </w:rPr>
        <w:t>.</w:t>
      </w:r>
      <w:r w:rsidRPr="00DD5D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В ходе данной волны исследований находит дополнительное подтверждение сохраняющаяся актуальность рисков криминальных потерь ЗСМ.  Так в ходе ПФИ выяснилось, что четверо из восемнадцати обследованных сотрудников ранее подвергались давлению со стороны криминалитета г. Семей, стимулирующего сотрудников к кражам ЗСМ. При этом двое обследованных пытались скрыть данные факты от эксперта, что по опыту предыдущих ПФИ, обусловлено их страхом за свою жизнь и безопасность. </w:t>
      </w:r>
    </w:p>
    <w:p w14:paraId="173630EE" w14:textId="77777777" w:rsidR="00196ED7" w:rsidRDefault="00196ED7" w:rsidP="00196ED7">
      <w:pPr>
        <w:pStyle w:val="NoParagraphStyle"/>
        <w:suppressAutoHyphens/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 то же время причастность обследованных сотрудников к совершению</w:t>
      </w:r>
      <w:r w:rsidRPr="00577574">
        <w:rPr>
          <w:rFonts w:ascii="Arial" w:hAnsi="Arial" w:cs="Arial"/>
          <w:b/>
          <w:sz w:val="20"/>
          <w:szCs w:val="20"/>
          <w:lang w:val="ru-RU"/>
        </w:rPr>
        <w:t xml:space="preserve"> краж ЗСМ в</w:t>
      </w:r>
      <w:r>
        <w:rPr>
          <w:rFonts w:ascii="Arial" w:hAnsi="Arial" w:cs="Arial"/>
          <w:b/>
          <w:sz w:val="20"/>
          <w:szCs w:val="20"/>
          <w:lang w:val="ru-RU"/>
        </w:rPr>
        <w:t xml:space="preserve"> период с 2014 по</w:t>
      </w:r>
      <w:r w:rsidRPr="0057757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2016 года</w:t>
      </w:r>
      <w:r w:rsidRPr="00577574">
        <w:rPr>
          <w:rFonts w:ascii="Arial" w:hAnsi="Arial" w:cs="Arial"/>
          <w:b/>
          <w:sz w:val="20"/>
          <w:szCs w:val="20"/>
          <w:lang w:val="ru-RU"/>
        </w:rPr>
        <w:t xml:space="preserve"> на момент исследования </w:t>
      </w:r>
      <w:r>
        <w:rPr>
          <w:rFonts w:ascii="Arial" w:hAnsi="Arial" w:cs="Arial"/>
          <w:b/>
          <w:sz w:val="20"/>
          <w:szCs w:val="20"/>
          <w:lang w:val="ru-RU"/>
        </w:rPr>
        <w:t xml:space="preserve">не выявляется. </w:t>
      </w:r>
      <w:r w:rsidRPr="00877544">
        <w:rPr>
          <w:rFonts w:ascii="Arial" w:hAnsi="Arial" w:cs="Arial"/>
          <w:sz w:val="20"/>
          <w:szCs w:val="20"/>
          <w:lang w:val="ru-RU"/>
        </w:rPr>
        <w:t xml:space="preserve">Сдерживающими </w:t>
      </w:r>
      <w:r>
        <w:rPr>
          <w:rFonts w:ascii="Arial" w:hAnsi="Arial" w:cs="Arial"/>
          <w:sz w:val="20"/>
          <w:szCs w:val="20"/>
          <w:lang w:val="ru-RU"/>
        </w:rPr>
        <w:t>соучастие сотрудников</w:t>
      </w:r>
      <w:r w:rsidRPr="00877544">
        <w:rPr>
          <w:rFonts w:ascii="Arial" w:hAnsi="Arial" w:cs="Arial"/>
          <w:sz w:val="20"/>
          <w:szCs w:val="20"/>
          <w:lang w:val="ru-RU"/>
        </w:rPr>
        <w:t xml:space="preserve"> в кражах факторами являются высокие риски разоблачения, связанные с деятельностью СОБ, а также регулярные проверки на полиграфе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14FFEADD" w14:textId="77777777" w:rsidR="00196ED7" w:rsidRDefault="00196ED7" w:rsidP="00196ED7">
      <w:pPr>
        <w:pStyle w:val="NoParagraphStyle"/>
        <w:suppressAutoHyphens/>
        <w:spacing w:line="240" w:lineRule="auto"/>
        <w:ind w:left="705" w:firstLine="6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38E1CFF1" w14:textId="77777777" w:rsidR="00196ED7" w:rsidRPr="00EF127C" w:rsidRDefault="00196ED7" w:rsidP="00196ED7">
      <w:pPr>
        <w:pStyle w:val="NoParagraphStyle"/>
        <w:numPr>
          <w:ilvl w:val="0"/>
          <w:numId w:val="7"/>
        </w:numPr>
        <w:suppressAutoHyphens/>
        <w:spacing w:line="240" w:lineRule="auto"/>
        <w:jc w:val="both"/>
        <w:textAlignment w:val="center"/>
        <w:rPr>
          <w:rFonts w:ascii="Arial" w:hAnsi="Arial" w:cs="Arial"/>
          <w:lang w:val="ru-RU"/>
        </w:rPr>
      </w:pPr>
      <w:r w:rsidRPr="002932A2">
        <w:rPr>
          <w:rFonts w:ascii="Arial" w:hAnsi="Arial" w:cs="Arial"/>
          <w:b/>
          <w:sz w:val="20"/>
          <w:szCs w:val="20"/>
          <w:lang w:val="ru-RU"/>
        </w:rPr>
        <w:t xml:space="preserve">Нарушения технологии. </w:t>
      </w:r>
      <w:r w:rsidRPr="002932A2">
        <w:rPr>
          <w:rFonts w:ascii="Arial" w:hAnsi="Arial" w:cs="Arial"/>
          <w:sz w:val="20"/>
          <w:szCs w:val="20"/>
          <w:lang w:val="ru-RU"/>
        </w:rPr>
        <w:t xml:space="preserve">В ходе текущего обследования находит дополнительное подтверждение вывод о том, что ключевыми факторами балансовой несводимости являются систематические и многообразные нарушениями в технологии производства. </w:t>
      </w:r>
    </w:p>
    <w:p w14:paraId="658BBC11" w14:textId="5B9EDA0A" w:rsidR="00196ED7" w:rsidRPr="00196ED7" w:rsidRDefault="00196ED7" w:rsidP="00196ED7">
      <w:pPr>
        <w:pStyle w:val="NoParagraphStyle"/>
        <w:suppressAutoHyphens/>
        <w:spacing w:line="240" w:lineRule="auto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дополнение к выявленным ранее нарушениям технологического процесса, были </w:t>
      </w:r>
      <w:r w:rsidRPr="002D048F">
        <w:rPr>
          <w:rFonts w:ascii="Arial" w:hAnsi="Arial" w:cs="Arial"/>
          <w:b/>
          <w:sz w:val="20"/>
          <w:szCs w:val="20"/>
          <w:lang w:val="ru-RU"/>
        </w:rPr>
        <w:t xml:space="preserve">установлены основные причины сбоев в работе системы </w:t>
      </w:r>
      <w:r w:rsidRPr="002D048F">
        <w:rPr>
          <w:rFonts w:ascii="Arial" w:hAnsi="Arial" w:cs="Arial"/>
          <w:b/>
          <w:sz w:val="20"/>
          <w:szCs w:val="20"/>
        </w:rPr>
        <w:t>BIOX</w:t>
      </w:r>
      <w:r w:rsidRPr="002D048F">
        <w:rPr>
          <w:rFonts w:ascii="Arial" w:hAnsi="Arial" w:cs="Arial"/>
          <w:b/>
          <w:sz w:val="20"/>
          <w:szCs w:val="20"/>
          <w:lang w:val="ru-RU"/>
        </w:rPr>
        <w:t xml:space="preserve"> (текущая ситуация, риски и пути их решения структурированы и подробно описаны в Приложении №1)</w:t>
      </w:r>
      <w:r w:rsidRPr="002D048F">
        <w:rPr>
          <w:rFonts w:ascii="Arial" w:hAnsi="Arial" w:cs="Arial"/>
          <w:lang w:val="ru-RU"/>
        </w:rPr>
        <w:t xml:space="preserve"> </w:t>
      </w:r>
    </w:p>
    <w:p w14:paraId="3CBABE14" w14:textId="77777777" w:rsidR="00196ED7" w:rsidRPr="007C4386" w:rsidRDefault="00196ED7" w:rsidP="00196ED7">
      <w:pPr>
        <w:spacing w:before="240"/>
        <w:ind w:left="703" w:firstLine="6"/>
        <w:jc w:val="both"/>
      </w:pPr>
      <w:r>
        <w:rPr>
          <w:b/>
        </w:rPr>
        <w:t>Дополнительные с</w:t>
      </w:r>
      <w:r w:rsidRPr="005057EA">
        <w:rPr>
          <w:b/>
        </w:rPr>
        <w:t xml:space="preserve">истемные проблемы, </w:t>
      </w:r>
      <w:r>
        <w:rPr>
          <w:b/>
        </w:rPr>
        <w:t xml:space="preserve">оказывающие влияние на эффективность производства, </w:t>
      </w:r>
      <w:r w:rsidRPr="005057EA">
        <w:rPr>
          <w:b/>
        </w:rPr>
        <w:t>выявленные в ходе исследования</w:t>
      </w:r>
    </w:p>
    <w:p w14:paraId="631AE04D" w14:textId="77777777" w:rsidR="00196ED7" w:rsidRDefault="00196ED7" w:rsidP="00196ED7">
      <w:pPr>
        <w:numPr>
          <w:ilvl w:val="0"/>
          <w:numId w:val="5"/>
        </w:numPr>
        <w:spacing w:before="120"/>
        <w:ind w:left="1060"/>
        <w:jc w:val="both"/>
      </w:pPr>
      <w:r>
        <w:rPr>
          <w:b/>
        </w:rPr>
        <w:t xml:space="preserve">Неэффективность системы производственного обучения  </w:t>
      </w:r>
    </w:p>
    <w:p w14:paraId="191BDE6A" w14:textId="77777777" w:rsidR="00196ED7" w:rsidRDefault="00196ED7" w:rsidP="00196ED7">
      <w:pPr>
        <w:spacing w:before="120"/>
        <w:ind w:left="1060"/>
        <w:jc w:val="both"/>
      </w:pPr>
      <w:r>
        <w:t>Н</w:t>
      </w:r>
      <w:r w:rsidRPr="002D566C">
        <w:t>арушени</w:t>
      </w:r>
      <w:r>
        <w:t>е</w:t>
      </w:r>
      <w:r w:rsidRPr="002D566C">
        <w:t xml:space="preserve"> технологических регламентов</w:t>
      </w:r>
      <w:r>
        <w:t xml:space="preserve"> и</w:t>
      </w:r>
      <w:r w:rsidRPr="002D566C">
        <w:t xml:space="preserve"> </w:t>
      </w:r>
      <w:r>
        <w:t xml:space="preserve">отсутствия дисциплины производства на технологически важных и </w:t>
      </w:r>
      <w:proofErr w:type="gramStart"/>
      <w:r>
        <w:t>ответственных  участках</w:t>
      </w:r>
      <w:proofErr w:type="gramEnd"/>
      <w:r>
        <w:t xml:space="preserve"> напрямую связано с критически низким уровнем специальных знаний производственного персонала. Аппаратчики-гидрометаллурги и контролеры-пробоотборщики ОТК были опрошены на предмет знания своих </w:t>
      </w:r>
      <w:proofErr w:type="gramStart"/>
      <w:r>
        <w:t>должностных  инструкций</w:t>
      </w:r>
      <w:proofErr w:type="gramEnd"/>
      <w:r>
        <w:t xml:space="preserve"> и норм</w:t>
      </w:r>
      <w:r w:rsidRPr="006A1E48">
        <w:t xml:space="preserve"> технологического</w:t>
      </w:r>
      <w:r>
        <w:t xml:space="preserve"> режима. По резул</w:t>
      </w:r>
      <w:r>
        <w:t>ь</w:t>
      </w:r>
      <w:r>
        <w:t>татам опросов, только один человек смог дать более 20 % правильных ответов, остальные (9 человек) с регламентирующим их деятельность документом не знак</w:t>
      </w:r>
      <w:r>
        <w:t>о</w:t>
      </w:r>
      <w:r>
        <w:t xml:space="preserve">мы: </w:t>
      </w:r>
    </w:p>
    <w:p w14:paraId="5D304652" w14:textId="77777777" w:rsidR="00196ED7" w:rsidRPr="00BA6CA8" w:rsidRDefault="00196ED7" w:rsidP="00196ED7">
      <w:pPr>
        <w:ind w:left="1060"/>
        <w:jc w:val="both"/>
        <w:rPr>
          <w:i/>
        </w:rPr>
      </w:pPr>
      <w:r w:rsidRPr="00BA6CA8">
        <w:rPr>
          <w:i/>
        </w:rPr>
        <w:t>-«…никогда не открывал данный документ и его не читал. Последний экзамен по те</w:t>
      </w:r>
      <w:r w:rsidRPr="00BA6CA8">
        <w:rPr>
          <w:i/>
        </w:rPr>
        <w:t>х</w:t>
      </w:r>
      <w:r w:rsidRPr="00BA6CA8">
        <w:rPr>
          <w:i/>
        </w:rPr>
        <w:t>нологии сдавал в 2013 году…»</w:t>
      </w:r>
    </w:p>
    <w:p w14:paraId="2006B260" w14:textId="77777777" w:rsidR="00196ED7" w:rsidRPr="00BA6CA8" w:rsidRDefault="00196ED7" w:rsidP="00196ED7">
      <w:pPr>
        <w:ind w:left="1060"/>
        <w:jc w:val="both"/>
        <w:rPr>
          <w:i/>
        </w:rPr>
      </w:pPr>
      <w:r w:rsidRPr="00BA6CA8">
        <w:rPr>
          <w:i/>
        </w:rPr>
        <w:t>- «…при устройстве мне показали, что есть такой документ. Я за него расписа</w:t>
      </w:r>
      <w:r w:rsidRPr="00BA6CA8">
        <w:rPr>
          <w:i/>
        </w:rPr>
        <w:t>л</w:t>
      </w:r>
      <w:r w:rsidRPr="00BA6CA8">
        <w:rPr>
          <w:i/>
        </w:rPr>
        <w:t xml:space="preserve">ся и все…». </w:t>
      </w:r>
    </w:p>
    <w:p w14:paraId="3BF5C6A5" w14:textId="77777777" w:rsidR="00196ED7" w:rsidRDefault="00196ED7" w:rsidP="00196ED7">
      <w:pPr>
        <w:ind w:left="1060"/>
        <w:jc w:val="both"/>
      </w:pPr>
    </w:p>
    <w:p w14:paraId="5ED28381" w14:textId="77777777" w:rsidR="00196ED7" w:rsidRDefault="00196ED7" w:rsidP="00196ED7">
      <w:pPr>
        <w:ind w:left="1060"/>
        <w:jc w:val="both"/>
      </w:pPr>
      <w:r>
        <w:t>При этом обследуемые указывали на отсутствие системы обучения при трудоустро</w:t>
      </w:r>
      <w:r>
        <w:t>й</w:t>
      </w:r>
      <w:r>
        <w:t xml:space="preserve">стве и «перекосах» в институте наставничества: </w:t>
      </w:r>
    </w:p>
    <w:p w14:paraId="4D0BC45A" w14:textId="77777777" w:rsidR="00196ED7" w:rsidRPr="00BA6CA8" w:rsidRDefault="00196ED7" w:rsidP="00196ED7">
      <w:pPr>
        <w:ind w:left="1060"/>
        <w:jc w:val="both"/>
        <w:rPr>
          <w:i/>
        </w:rPr>
      </w:pPr>
      <w:r w:rsidRPr="00BA6CA8">
        <w:rPr>
          <w:i/>
        </w:rPr>
        <w:t>- «…у меня такого не было, чтобы меня кто-то специально обучал, я пришел и мне мужики все показали. Затем я обучал новых сотрудников и то, только, если они сами тянулись, если человеку не интересно, то и не учу его ничему…»</w:t>
      </w:r>
    </w:p>
    <w:p w14:paraId="57789E64" w14:textId="77777777" w:rsidR="00196ED7" w:rsidRPr="00BA6CA8" w:rsidRDefault="00196ED7" w:rsidP="00196ED7">
      <w:pPr>
        <w:ind w:left="1060"/>
        <w:jc w:val="both"/>
        <w:rPr>
          <w:i/>
        </w:rPr>
      </w:pPr>
      <w:r w:rsidRPr="00BA6CA8">
        <w:rPr>
          <w:i/>
        </w:rPr>
        <w:t>- «…на лицо профессиональная деградация, я в 2014 году написала служебную з</w:t>
      </w:r>
      <w:r w:rsidRPr="00BA6CA8">
        <w:rPr>
          <w:i/>
        </w:rPr>
        <w:t>а</w:t>
      </w:r>
      <w:r w:rsidRPr="00BA6CA8">
        <w:rPr>
          <w:i/>
        </w:rPr>
        <w:t>писку, однако никаких подвижек нет. А инженер по профобучению занимается те</w:t>
      </w:r>
      <w:r w:rsidRPr="00BA6CA8">
        <w:rPr>
          <w:i/>
        </w:rPr>
        <w:t>х</w:t>
      </w:r>
      <w:r w:rsidRPr="00BA6CA8">
        <w:rPr>
          <w:i/>
        </w:rPr>
        <w:t>никой безопасн</w:t>
      </w:r>
      <w:r w:rsidRPr="00BA6CA8">
        <w:rPr>
          <w:i/>
        </w:rPr>
        <w:t>о</w:t>
      </w:r>
      <w:r w:rsidRPr="00BA6CA8">
        <w:rPr>
          <w:i/>
        </w:rPr>
        <w:t xml:space="preserve">сти…».  </w:t>
      </w:r>
    </w:p>
    <w:p w14:paraId="4961392B" w14:textId="77777777" w:rsidR="00196ED7" w:rsidRPr="005B440D" w:rsidRDefault="00196ED7" w:rsidP="00196ED7">
      <w:pPr>
        <w:numPr>
          <w:ilvl w:val="0"/>
          <w:numId w:val="5"/>
        </w:numPr>
        <w:spacing w:before="100" w:beforeAutospacing="1"/>
        <w:jc w:val="both"/>
      </w:pPr>
      <w:r>
        <w:rPr>
          <w:b/>
        </w:rPr>
        <w:t>Неэффективность функции «закупки»</w:t>
      </w:r>
    </w:p>
    <w:p w14:paraId="31DB1478" w14:textId="77777777" w:rsidR="00196ED7" w:rsidRDefault="00196ED7" w:rsidP="00196ED7">
      <w:pPr>
        <w:spacing w:before="100" w:beforeAutospacing="1"/>
        <w:ind w:left="1063"/>
        <w:jc w:val="both"/>
      </w:pPr>
      <w:r w:rsidRPr="005B440D">
        <w:lastRenderedPageBreak/>
        <w:t>Опрошенные сотрудники указывают на низкую</w:t>
      </w:r>
      <w:r>
        <w:t xml:space="preserve"> оперативность реагирования закупщ</w:t>
      </w:r>
      <w:r>
        <w:t>и</w:t>
      </w:r>
      <w:r>
        <w:t>ков на возникающие потребности, заказы выполняются либо с затягиванием, либо не исполняются совсем:</w:t>
      </w:r>
    </w:p>
    <w:p w14:paraId="3CACFE02" w14:textId="77777777" w:rsidR="00196ED7" w:rsidRPr="005B440D" w:rsidRDefault="00196ED7" w:rsidP="00196ED7">
      <w:pPr>
        <w:ind w:left="1063"/>
        <w:jc w:val="both"/>
        <w:rPr>
          <w:i/>
        </w:rPr>
      </w:pPr>
      <w:proofErr w:type="gramStart"/>
      <w:r w:rsidRPr="005B440D">
        <w:rPr>
          <w:i/>
        </w:rPr>
        <w:t>-  «</w:t>
      </w:r>
      <w:proofErr w:type="gramEnd"/>
      <w:r w:rsidRPr="005B440D">
        <w:rPr>
          <w:i/>
        </w:rPr>
        <w:t>…На складе нет необходимых размеров одежды и СИЗ, новые сотрудники ходят в обносках своих коллег по 3-4 вахты, а то и больше. Часть до сих пор не могут пол</w:t>
      </w:r>
      <w:r w:rsidRPr="005B440D">
        <w:rPr>
          <w:i/>
        </w:rPr>
        <w:t>у</w:t>
      </w:r>
      <w:r w:rsidRPr="005B440D">
        <w:rPr>
          <w:i/>
        </w:rPr>
        <w:t>чить новую форму. И это крупная золотодобывающая компания…»</w:t>
      </w:r>
    </w:p>
    <w:p w14:paraId="53997854" w14:textId="77777777" w:rsidR="00196ED7" w:rsidRDefault="00196ED7" w:rsidP="00196ED7">
      <w:pPr>
        <w:ind w:left="1063"/>
        <w:jc w:val="both"/>
        <w:rPr>
          <w:i/>
        </w:rPr>
      </w:pPr>
      <w:r w:rsidRPr="005B440D">
        <w:rPr>
          <w:i/>
        </w:rPr>
        <w:t xml:space="preserve">- «…главный Инженер Крутских Сергей Владимирович еще в 2015 году инициировал закупку дополнительного дизельного электрогенератора ДЭС-2000, до сих пор ее не приобрели. Причину не говорят. А </w:t>
      </w:r>
      <w:r w:rsidRPr="005B440D">
        <w:rPr>
          <w:i/>
          <w:lang w:val="en-US"/>
        </w:rPr>
        <w:t>BIOX</w:t>
      </w:r>
      <w:r w:rsidRPr="005B440D">
        <w:rPr>
          <w:i/>
        </w:rPr>
        <w:t xml:space="preserve"> как был не защищён от электрических сбоев, так и ост</w:t>
      </w:r>
      <w:r w:rsidRPr="005B440D">
        <w:rPr>
          <w:i/>
        </w:rPr>
        <w:t>а</w:t>
      </w:r>
      <w:r w:rsidRPr="005B440D">
        <w:rPr>
          <w:i/>
        </w:rPr>
        <w:t>ется…»</w:t>
      </w:r>
    </w:p>
    <w:p w14:paraId="41AA140B" w14:textId="77777777" w:rsidR="00196ED7" w:rsidRPr="005B440D" w:rsidRDefault="00196ED7" w:rsidP="00196ED7">
      <w:pPr>
        <w:ind w:left="1063"/>
        <w:jc w:val="both"/>
        <w:rPr>
          <w:i/>
        </w:rPr>
      </w:pPr>
    </w:p>
    <w:p w14:paraId="34CFC88E" w14:textId="77777777" w:rsidR="00196ED7" w:rsidRDefault="00196ED7" w:rsidP="00196ED7">
      <w:pPr>
        <w:numPr>
          <w:ilvl w:val="0"/>
          <w:numId w:val="5"/>
        </w:numPr>
        <w:jc w:val="both"/>
      </w:pPr>
      <w:r>
        <w:rPr>
          <w:b/>
        </w:rPr>
        <w:t>Нарушение принц</w:t>
      </w:r>
      <w:r w:rsidRPr="00D1238D">
        <w:rPr>
          <w:b/>
        </w:rPr>
        <w:t xml:space="preserve">ипа «нулевой терпимости» к злоупотреблениям. </w:t>
      </w:r>
    </w:p>
    <w:p w14:paraId="224DD245" w14:textId="77777777" w:rsidR="00196ED7" w:rsidRDefault="00196ED7" w:rsidP="00196ED7">
      <w:pPr>
        <w:ind w:left="1063"/>
        <w:jc w:val="both"/>
      </w:pPr>
      <w:r>
        <w:rPr>
          <w:rFonts w:cs="Times New Roman"/>
        </w:rPr>
        <w:t>Энергетик м</w:t>
      </w:r>
      <w:r>
        <w:rPr>
          <w:rFonts w:cs="Times New Roman"/>
        </w:rPr>
        <w:t>е</w:t>
      </w:r>
      <w:r>
        <w:rPr>
          <w:rFonts w:cs="Times New Roman"/>
        </w:rPr>
        <w:t>ханического завода</w:t>
      </w:r>
      <w:r>
        <w:t xml:space="preserve"> был протестирован в 2014 году и не рекомендован к сотрудничеству. Игнорирование результатов, как и в предыдущих случаях, пр</w:t>
      </w:r>
      <w:r>
        <w:t>и</w:t>
      </w:r>
      <w:r>
        <w:t>вело к «осознанию собственной безнаказанности» и, как следствие, к предсказуемому рец</w:t>
      </w:r>
      <w:r>
        <w:t>и</w:t>
      </w:r>
      <w:r>
        <w:t>дивирующему коррупционному поведению. В ходе ПФО 2016 года была выявл</w:t>
      </w:r>
      <w:r>
        <w:t>е</w:t>
      </w:r>
      <w:r>
        <w:t>на</w:t>
      </w:r>
      <w:r w:rsidRPr="00B5152E">
        <w:t xml:space="preserve"> </w:t>
      </w:r>
      <w:r>
        <w:t>его причастность к коррупционным злоупотреблениям, наносящим ущерб комп</w:t>
      </w:r>
      <w:r>
        <w:t>а</w:t>
      </w:r>
      <w:r>
        <w:t>нии.</w:t>
      </w:r>
    </w:p>
    <w:p w14:paraId="1E885D03" w14:textId="77777777" w:rsidR="00196ED7" w:rsidRDefault="00196ED7" w:rsidP="00196ED7">
      <w:pPr>
        <w:pStyle w:val="NoParagraphStyle"/>
        <w:suppressAutoHyphens/>
        <w:spacing w:before="24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Выводы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r w:rsidRPr="00BC39C1">
        <w:rPr>
          <w:rFonts w:ascii="Arial" w:hAnsi="Arial" w:cs="Arial"/>
          <w:sz w:val="20"/>
          <w:szCs w:val="20"/>
          <w:lang w:val="ru-RU"/>
        </w:rPr>
        <w:t>Исходя из пол</w:t>
      </w:r>
      <w:r>
        <w:rPr>
          <w:rFonts w:ascii="Arial" w:hAnsi="Arial" w:cs="Arial"/>
          <w:sz w:val="20"/>
          <w:szCs w:val="20"/>
          <w:lang w:val="ru-RU"/>
        </w:rPr>
        <w:t>ученной и обработанной в ходе ис</w:t>
      </w:r>
      <w:r w:rsidRPr="00BC39C1">
        <w:rPr>
          <w:rFonts w:ascii="Arial" w:hAnsi="Arial" w:cs="Arial"/>
          <w:sz w:val="20"/>
          <w:szCs w:val="20"/>
          <w:lang w:val="ru-RU"/>
        </w:rPr>
        <w:t>следования информации</w:t>
      </w:r>
      <w:r>
        <w:rPr>
          <w:rFonts w:ascii="Arial" w:hAnsi="Arial" w:cs="Arial"/>
          <w:sz w:val="20"/>
          <w:szCs w:val="20"/>
          <w:lang w:val="ru-RU"/>
        </w:rPr>
        <w:t>, можно сделать следующие выводы:</w:t>
      </w:r>
    </w:p>
    <w:p w14:paraId="7064FB8D" w14:textId="0DB57E99" w:rsidR="00196ED7" w:rsidRPr="00B5152E" w:rsidRDefault="00196ED7" w:rsidP="00196ED7">
      <w:pPr>
        <w:pStyle w:val="NoParagraphStyle"/>
        <w:numPr>
          <w:ilvl w:val="0"/>
          <w:numId w:val="8"/>
        </w:numPr>
        <w:suppressAutoHyphens/>
        <w:spacing w:before="240" w:line="240" w:lineRule="auto"/>
        <w:jc w:val="both"/>
        <w:textAlignment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 подтверждается версия о криминогенном характере потерь ЗМЗ в течение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2014- </w:t>
      </w:r>
      <w:r w:rsidRPr="00B5152E">
        <w:rPr>
          <w:rFonts w:ascii="Arial" w:hAnsi="Arial" w:cs="Arial"/>
          <w:sz w:val="20"/>
          <w:szCs w:val="20"/>
          <w:lang w:val="ru-RU"/>
        </w:rPr>
        <w:t>2016</w:t>
      </w:r>
      <w:proofErr w:type="gramEnd"/>
      <w:r w:rsidRPr="00B5152E">
        <w:rPr>
          <w:rFonts w:ascii="Arial" w:hAnsi="Arial" w:cs="Arial"/>
          <w:sz w:val="20"/>
          <w:szCs w:val="20"/>
          <w:lang w:val="ru-RU"/>
        </w:rPr>
        <w:t xml:space="preserve"> г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B5152E">
        <w:rPr>
          <w:rFonts w:ascii="Arial" w:hAnsi="Arial" w:cs="Arial"/>
          <w:sz w:val="20"/>
          <w:szCs w:val="20"/>
          <w:lang w:val="ru-RU"/>
        </w:rPr>
        <w:t xml:space="preserve">. и на основе </w:t>
      </w:r>
      <w:r>
        <w:rPr>
          <w:rFonts w:ascii="Arial" w:hAnsi="Arial" w:cs="Arial"/>
          <w:sz w:val="20"/>
          <w:szCs w:val="20"/>
          <w:lang w:val="ru-RU"/>
        </w:rPr>
        <w:t xml:space="preserve">представленной </w:t>
      </w:r>
      <w:r w:rsidRPr="00B5152E">
        <w:rPr>
          <w:rFonts w:ascii="Arial" w:hAnsi="Arial" w:cs="Arial"/>
          <w:sz w:val="20"/>
          <w:szCs w:val="20"/>
          <w:lang w:val="ru-RU"/>
        </w:rPr>
        <w:t>дополнительной выборки работников. При этом для полного исключения влияния данного фактора и профилактики криминальных рисков рекомендуется продолжить ПФИ в отношении как производственного персонала АО «ФИК «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B5152E">
        <w:rPr>
          <w:rFonts w:ascii="Arial" w:hAnsi="Arial" w:cs="Arial"/>
          <w:sz w:val="20"/>
          <w:szCs w:val="20"/>
          <w:lang w:val="ru-RU"/>
        </w:rPr>
        <w:t>», так и сотрудников охраны ТОО «ЧОО «</w:t>
      </w:r>
      <w:r>
        <w:rPr>
          <w:rFonts w:ascii="Arial" w:hAnsi="Arial" w:cs="Arial"/>
          <w:sz w:val="20"/>
          <w:szCs w:val="20"/>
          <w:lang w:val="ru-RU"/>
        </w:rPr>
        <w:t>А-с</w:t>
      </w:r>
      <w:r w:rsidRPr="00B5152E">
        <w:rPr>
          <w:rFonts w:ascii="Arial" w:hAnsi="Arial" w:cs="Arial"/>
          <w:sz w:val="20"/>
          <w:szCs w:val="20"/>
          <w:lang w:val="ru-RU"/>
        </w:rPr>
        <w:t>» на регулярной основе.</w:t>
      </w:r>
    </w:p>
    <w:p w14:paraId="6D134AA7" w14:textId="16980B3C" w:rsidR="00196ED7" w:rsidRDefault="00196ED7" w:rsidP="00196ED7">
      <w:pPr>
        <w:pStyle w:val="NoParagraphStyle"/>
        <w:numPr>
          <w:ilvl w:val="0"/>
          <w:numId w:val="8"/>
        </w:numPr>
        <w:suppressAutoHyphens/>
        <w:spacing w:before="240" w:line="240" w:lineRule="auto"/>
        <w:jc w:val="both"/>
        <w:textAlignment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Ключевыми факторами балансовой несводимости</w:t>
      </w:r>
      <w:r w:rsidRPr="00D1238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являются регулярные и множественные нарушениями в технологии и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дисциплине  производства</w:t>
      </w:r>
      <w:proofErr w:type="gramEnd"/>
      <w:r>
        <w:rPr>
          <w:rFonts w:ascii="Arial" w:hAnsi="Arial" w:cs="Arial"/>
          <w:sz w:val="20"/>
          <w:szCs w:val="20"/>
          <w:lang w:val="ru-RU"/>
        </w:rPr>
        <w:t>, требующие системного экспертного аудита и приоритетного внимания со стороны руководителей компании, отвечающих за технологию. О</w:t>
      </w:r>
      <w:r w:rsidRPr="00B5152E">
        <w:rPr>
          <w:rFonts w:ascii="Arial" w:hAnsi="Arial" w:cs="Arial"/>
          <w:sz w:val="20"/>
          <w:szCs w:val="20"/>
          <w:lang w:val="ru-RU"/>
        </w:rPr>
        <w:t xml:space="preserve">собое внимание рекомендуется обратить на устранение проблем, возникающих на этапе </w:t>
      </w:r>
      <w:r w:rsidRPr="00B5152E">
        <w:rPr>
          <w:rFonts w:ascii="Arial" w:hAnsi="Arial" w:cs="Arial"/>
          <w:sz w:val="20"/>
          <w:szCs w:val="20"/>
        </w:rPr>
        <w:t>BIOX</w:t>
      </w:r>
      <w:r w:rsidRPr="00B5152E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61F3BBA9" w14:textId="77777777" w:rsidR="00196ED7" w:rsidRPr="00B5152E" w:rsidRDefault="00196ED7" w:rsidP="00196ED7">
      <w:pPr>
        <w:pStyle w:val="NoParagraphStyle"/>
        <w:suppressAutoHyphens/>
        <w:spacing w:before="240" w:line="240" w:lineRule="auto"/>
        <w:ind w:left="1069"/>
        <w:jc w:val="both"/>
        <w:textAlignment w:val="center"/>
        <w:rPr>
          <w:rFonts w:ascii="Arial" w:hAnsi="Arial" w:cs="Arial"/>
          <w:sz w:val="20"/>
          <w:szCs w:val="20"/>
          <w:lang w:val="ru-RU"/>
        </w:rPr>
      </w:pPr>
    </w:p>
    <w:p w14:paraId="7E2EF048" w14:textId="75BE6D51" w:rsidR="00415E32" w:rsidRDefault="00196ED7"/>
    <w:tbl>
      <w:tblPr>
        <w:tblW w:w="31300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686"/>
        <w:gridCol w:w="3686"/>
        <w:gridCol w:w="3686"/>
        <w:gridCol w:w="3686"/>
        <w:gridCol w:w="3686"/>
        <w:gridCol w:w="3686"/>
        <w:gridCol w:w="3686"/>
        <w:gridCol w:w="2437"/>
        <w:gridCol w:w="3061"/>
      </w:tblGrid>
      <w:tr w:rsidR="00196ED7" w14:paraId="57EB6ADA" w14:textId="77777777" w:rsidTr="001B3E64">
        <w:trPr>
          <w:trHeight w:val="1435"/>
        </w:trPr>
        <w:tc>
          <w:tcPr>
            <w:tcW w:w="3686" w:type="dxa"/>
          </w:tcPr>
          <w:p w14:paraId="7F1A9147" w14:textId="2F2FC689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394448AE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BA506AB" w14:textId="56E04F4F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1.11.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2016</w:t>
            </w:r>
          </w:p>
        </w:tc>
        <w:tc>
          <w:tcPr>
            <w:tcW w:w="3686" w:type="dxa"/>
          </w:tcPr>
          <w:p w14:paraId="54FD7E39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1BE04213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Абрамов Р.И.</w:t>
            </w:r>
          </w:p>
          <w:p w14:paraId="0553A5ED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5113276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FC9D001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6C3D8902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0FBDF8FB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0605745A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Управления внутреннего контроля  </w:t>
            </w:r>
          </w:p>
          <w:p w14:paraId="1A4D58E5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4580583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5FD82E88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Управления внутреннего контроля</w:t>
            </w:r>
          </w:p>
        </w:tc>
        <w:tc>
          <w:tcPr>
            <w:tcW w:w="3686" w:type="dxa"/>
          </w:tcPr>
          <w:p w14:paraId="037DFD3D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1368BADF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3D5A8D9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Абрамов Р.И.</w:t>
            </w:r>
          </w:p>
          <w:p w14:paraId="26BB4A46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A1D372B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Попов А.А.</w:t>
            </w:r>
          </w:p>
          <w:p w14:paraId="4DDA615C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4DD5E043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21093C04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7A50187A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Управления внутреннего контроля  </w:t>
            </w:r>
          </w:p>
          <w:p w14:paraId="6DC7F4E8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B0B5A66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Старший менеджер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ab/>
            </w:r>
          </w:p>
          <w:p w14:paraId="6D97C71B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Управления внутреннего контроля  </w:t>
            </w:r>
          </w:p>
          <w:p w14:paraId="72BE3EA8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776A9F2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37" w:type="dxa"/>
          </w:tcPr>
          <w:p w14:paraId="6E626694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61" w:type="dxa"/>
          </w:tcPr>
          <w:p w14:paraId="50062869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7492CAC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Абрамов Р.И.</w:t>
            </w:r>
          </w:p>
          <w:p w14:paraId="6D4384DE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24D364D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Попов А.А.</w:t>
            </w:r>
          </w:p>
          <w:p w14:paraId="77291956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EBDF19F" w14:textId="77777777" w:rsidR="00196ED7" w:rsidRDefault="00196ED7" w:rsidP="001B3E64">
            <w:pPr>
              <w:pStyle w:val="NoParagraphStyle"/>
              <w:suppressAutoHyphens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2574B86F" w14:textId="19475CC9" w:rsidR="00196ED7" w:rsidRDefault="00196ED7">
      <w:r>
        <w:t>Приложение 1</w:t>
      </w:r>
    </w:p>
    <w:tbl>
      <w:tblPr>
        <w:tblW w:w="103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9"/>
        <w:gridCol w:w="2085"/>
        <w:gridCol w:w="3807"/>
        <w:gridCol w:w="4144"/>
      </w:tblGrid>
      <w:tr w:rsidR="00196ED7" w:rsidRPr="006831F1" w14:paraId="418C8E31" w14:textId="77777777" w:rsidTr="00196ED7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7DD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3C93" w14:textId="77777777" w:rsidR="00196ED7" w:rsidRPr="006831F1" w:rsidRDefault="00196ED7" w:rsidP="00196ED7">
            <w:pPr>
              <w:ind w:left="68"/>
            </w:pPr>
            <w:r w:rsidRPr="006831F1">
              <w:t>Проблемы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8B39" w14:textId="77777777" w:rsidR="00196ED7" w:rsidRPr="006831F1" w:rsidRDefault="00196ED7" w:rsidP="00196ED7">
            <w:pPr>
              <w:ind w:left="68"/>
            </w:pPr>
            <w:r>
              <w:t>Текущая ситуация</w:t>
            </w:r>
            <w:r w:rsidRPr="006831F1">
              <w:t>/Риски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FE9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Пути решения</w:t>
            </w:r>
          </w:p>
        </w:tc>
      </w:tr>
      <w:tr w:rsidR="00196ED7" w:rsidRPr="006831F1" w14:paraId="28635A7B" w14:textId="77777777" w:rsidTr="00196ED7">
        <w:trPr>
          <w:trHeight w:val="347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D1C1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BECB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Влияние минерал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гического состава руды. Бактерии чувствительны к смене компонентов в руде, нередко требуется дл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тельный период адаптации</w:t>
            </w:r>
            <w:r>
              <w:rPr>
                <w:color w:val="000000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37E2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Отсутствие возможности предвар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тел</w:t>
            </w:r>
            <w:r w:rsidRPr="006831F1">
              <w:rPr>
                <w:color w:val="000000"/>
              </w:rPr>
              <w:t>ь</w:t>
            </w:r>
            <w:r w:rsidRPr="006831F1">
              <w:rPr>
                <w:color w:val="000000"/>
              </w:rPr>
              <w:t>ного минералогического анализа под</w:t>
            </w:r>
            <w:r w:rsidRPr="006831F1">
              <w:rPr>
                <w:color w:val="000000"/>
              </w:rPr>
              <w:t>а</w:t>
            </w:r>
            <w:r w:rsidRPr="006831F1">
              <w:rPr>
                <w:color w:val="000000"/>
              </w:rPr>
              <w:t>ваемых руд</w:t>
            </w:r>
            <w:r>
              <w:rPr>
                <w:color w:val="000000"/>
              </w:rPr>
              <w:t>.</w:t>
            </w:r>
          </w:p>
          <w:p w14:paraId="4CA68D2D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Нет компетентного специалиста в р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гионе (</w:t>
            </w:r>
            <w:r w:rsidRPr="00EA32CE">
              <w:rPr>
                <w:color w:val="000000"/>
              </w:rPr>
              <w:t>минер</w:t>
            </w:r>
            <w:r>
              <w:rPr>
                <w:color w:val="000000"/>
              </w:rPr>
              <w:t>а</w:t>
            </w:r>
            <w:r w:rsidRPr="00EA32CE">
              <w:rPr>
                <w:color w:val="000000"/>
              </w:rPr>
              <w:t>лог</w:t>
            </w:r>
            <w:r w:rsidRPr="006831F1">
              <w:rPr>
                <w:color w:val="000000"/>
              </w:rPr>
              <w:t xml:space="preserve"> в декретном отпу</w:t>
            </w:r>
            <w:r w:rsidRPr="006831F1">
              <w:rPr>
                <w:color w:val="000000"/>
              </w:rPr>
              <w:t>с</w:t>
            </w:r>
            <w:r w:rsidRPr="006831F1">
              <w:rPr>
                <w:color w:val="000000"/>
              </w:rPr>
              <w:t>ке, но её компетентности недостато</w:t>
            </w:r>
            <w:r w:rsidRPr="006831F1">
              <w:rPr>
                <w:color w:val="000000"/>
              </w:rPr>
              <w:t>ч</w:t>
            </w:r>
            <w:r w:rsidRPr="006831F1">
              <w:rPr>
                <w:color w:val="000000"/>
              </w:rPr>
              <w:t>но, она была обучена на участке с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лами «Алел»)</w:t>
            </w:r>
            <w:r>
              <w:rPr>
                <w:color w:val="000000"/>
              </w:rPr>
              <w:t>.</w:t>
            </w:r>
          </w:p>
          <w:p w14:paraId="2C82DA68" w14:textId="77777777" w:rsidR="00196ED7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Ограниченные возможности имеющ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гося оптического микроскопа (со слов мин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р</w:t>
            </w:r>
            <w:r>
              <w:rPr>
                <w:color w:val="000000"/>
              </w:rPr>
              <w:t>ал</w:t>
            </w:r>
            <w:r w:rsidRPr="006831F1">
              <w:rPr>
                <w:color w:val="000000"/>
              </w:rPr>
              <w:t>ога)</w:t>
            </w:r>
            <w:r>
              <w:rPr>
                <w:color w:val="000000"/>
              </w:rPr>
              <w:t>.</w:t>
            </w:r>
          </w:p>
          <w:p w14:paraId="33018034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Отсутствие возможности предвар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тельной подготовки руды (усредн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ния/перемешивания), подаваемой на завод</w:t>
            </w:r>
            <w:r>
              <w:rPr>
                <w:color w:val="000000"/>
              </w:rPr>
              <w:t>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C1D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Привлечение квалифицированного сп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циал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ста</w:t>
            </w:r>
            <w:r>
              <w:rPr>
                <w:color w:val="000000"/>
              </w:rPr>
              <w:t>.</w:t>
            </w:r>
            <w:r w:rsidRPr="006831F1">
              <w:rPr>
                <w:color w:val="000000"/>
              </w:rPr>
              <w:br/>
              <w:t>Приобретение микроскопа, с разрешен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ем достаточным для качественного м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нералог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ческого анализа</w:t>
            </w:r>
            <w:r w:rsidRPr="006831F1">
              <w:rPr>
                <w:color w:val="000000"/>
              </w:rPr>
              <w:br/>
              <w:t>Расширение территории имеющегося склада дробленой руды, привлечение дополнител</w:t>
            </w:r>
            <w:r w:rsidRPr="006831F1">
              <w:rPr>
                <w:color w:val="000000"/>
              </w:rPr>
              <w:t>ь</w:t>
            </w:r>
            <w:r w:rsidRPr="006831F1">
              <w:rPr>
                <w:color w:val="000000"/>
              </w:rPr>
              <w:t>ной техники</w:t>
            </w:r>
          </w:p>
        </w:tc>
      </w:tr>
      <w:tr w:rsidR="00196ED7" w:rsidRPr="006831F1" w14:paraId="0B233CC0" w14:textId="77777777" w:rsidTr="00196ED7">
        <w:trPr>
          <w:trHeight w:val="353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E147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03EF" w14:textId="77777777" w:rsidR="00196ED7" w:rsidRPr="006831F1" w:rsidRDefault="00196ED7" w:rsidP="00196ED7">
            <w:pPr>
              <w:spacing w:after="240"/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Соблюдение те</w:t>
            </w:r>
            <w:r w:rsidRPr="006831F1">
              <w:rPr>
                <w:color w:val="000000"/>
              </w:rPr>
              <w:t>х</w:t>
            </w:r>
            <w:r w:rsidRPr="006831F1">
              <w:rPr>
                <w:color w:val="000000"/>
              </w:rPr>
              <w:t>нологических п</w:t>
            </w:r>
            <w:r w:rsidRPr="006831F1">
              <w:rPr>
                <w:color w:val="000000"/>
              </w:rPr>
              <w:t>а</w:t>
            </w:r>
            <w:r w:rsidRPr="006831F1">
              <w:rPr>
                <w:color w:val="000000"/>
              </w:rPr>
              <w:t xml:space="preserve">раметров: рН </w:t>
            </w:r>
            <w:proofErr w:type="gramStart"/>
            <w:r w:rsidRPr="006831F1">
              <w:rPr>
                <w:color w:val="000000"/>
              </w:rPr>
              <w:t>1.4-1.6</w:t>
            </w:r>
            <w:proofErr w:type="gramEnd"/>
            <w:r w:rsidRPr="006831F1">
              <w:rPr>
                <w:color w:val="000000"/>
              </w:rPr>
              <w:t xml:space="preserve"> (первичных р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акторах), t-40-42◦C, содержание кисл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рода (2-4мг/л)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C8EE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рН – влияние человеческого фактора (оператор может несвоевременно доб</w:t>
            </w:r>
            <w:r w:rsidRPr="006831F1">
              <w:rPr>
                <w:color w:val="000000"/>
              </w:rPr>
              <w:t>а</w:t>
            </w:r>
            <w:r w:rsidRPr="006831F1">
              <w:rPr>
                <w:color w:val="000000"/>
              </w:rPr>
              <w:t xml:space="preserve">вить/остановить подачу </w:t>
            </w:r>
            <w:proofErr w:type="gramStart"/>
            <w:r w:rsidRPr="006831F1">
              <w:rPr>
                <w:color w:val="000000"/>
              </w:rPr>
              <w:t>кислоты)  температура</w:t>
            </w:r>
            <w:proofErr w:type="gramEnd"/>
            <w:r w:rsidRPr="006831F1">
              <w:rPr>
                <w:color w:val="000000"/>
              </w:rPr>
              <w:t xml:space="preserve"> – наросты внутри и сн</w:t>
            </w:r>
            <w:r w:rsidRPr="006831F1">
              <w:rPr>
                <w:color w:val="000000"/>
              </w:rPr>
              <w:t>а</w:t>
            </w:r>
            <w:r w:rsidRPr="006831F1">
              <w:rPr>
                <w:color w:val="000000"/>
              </w:rPr>
              <w:t>ружи охлаждающих змеевиков, уху</w:t>
            </w:r>
            <w:r w:rsidRPr="006831F1">
              <w:rPr>
                <w:color w:val="000000"/>
              </w:rPr>
              <w:t>д</w:t>
            </w:r>
            <w:r w:rsidRPr="006831F1">
              <w:rPr>
                <w:color w:val="000000"/>
              </w:rPr>
              <w:t>шающие теплообмен; неэффекти</w:t>
            </w:r>
            <w:r w:rsidRPr="006831F1">
              <w:rPr>
                <w:color w:val="000000"/>
              </w:rPr>
              <w:t>в</w:t>
            </w:r>
            <w:r w:rsidRPr="006831F1">
              <w:rPr>
                <w:color w:val="000000"/>
              </w:rPr>
              <w:t>ная работа градирен  концентрация кислорода –остановка воздуходувки, забивание ба</w:t>
            </w:r>
            <w:r w:rsidRPr="006831F1">
              <w:rPr>
                <w:color w:val="000000"/>
              </w:rPr>
              <w:t>р</w:t>
            </w:r>
            <w:r w:rsidRPr="006831F1">
              <w:rPr>
                <w:color w:val="000000"/>
              </w:rPr>
              <w:t>ботажных отверстий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3BE3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Работа с операторами, регулярный ко</w:t>
            </w:r>
            <w:r w:rsidRPr="006831F1">
              <w:rPr>
                <w:color w:val="000000"/>
              </w:rPr>
              <w:t>н</w:t>
            </w:r>
            <w:r w:rsidRPr="006831F1">
              <w:rPr>
                <w:color w:val="000000"/>
              </w:rPr>
              <w:t xml:space="preserve">троль. </w:t>
            </w:r>
            <w:r w:rsidRPr="006831F1">
              <w:rPr>
                <w:color w:val="000000"/>
              </w:rPr>
              <w:br/>
              <w:t>Можно было бы установить системы а</w:t>
            </w:r>
            <w:r w:rsidRPr="006831F1">
              <w:rPr>
                <w:color w:val="000000"/>
              </w:rPr>
              <w:t>в</w:t>
            </w:r>
            <w:r w:rsidRPr="006831F1">
              <w:rPr>
                <w:color w:val="000000"/>
              </w:rPr>
              <w:t>томатического дозирования серной ки</w:t>
            </w:r>
            <w:r w:rsidRPr="006831F1">
              <w:rPr>
                <w:color w:val="000000"/>
              </w:rPr>
              <w:t>с</w:t>
            </w:r>
            <w:r w:rsidRPr="006831F1">
              <w:rPr>
                <w:color w:val="000000"/>
              </w:rPr>
              <w:t>лоты. Но не уверена, что они пр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служат долго, из-за агрессивной ср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ды процесса (на заводах, эксплуатирующих BIOX, кислота дозируется опе</w:t>
            </w:r>
            <w:r>
              <w:rPr>
                <w:color w:val="000000"/>
              </w:rPr>
              <w:t>раторами)</w:t>
            </w:r>
            <w:r w:rsidRPr="006831F1">
              <w:rPr>
                <w:color w:val="000000"/>
              </w:rPr>
              <w:br/>
              <w:t xml:space="preserve">Наросты внутри </w:t>
            </w:r>
            <w:proofErr w:type="gramStart"/>
            <w:r w:rsidRPr="006831F1">
              <w:rPr>
                <w:color w:val="000000"/>
              </w:rPr>
              <w:t>теплообменников  -</w:t>
            </w:r>
            <w:proofErr w:type="gramEnd"/>
            <w:r w:rsidRPr="006831F1">
              <w:rPr>
                <w:color w:val="000000"/>
              </w:rPr>
              <w:t xml:space="preserve"> пр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блема решена добавлением инг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битора</w:t>
            </w:r>
            <w:r w:rsidRPr="006831F1">
              <w:rPr>
                <w:color w:val="000000"/>
              </w:rPr>
              <w:br/>
              <w:t>Наросты снаружи – не</w:t>
            </w:r>
            <w:r>
              <w:rPr>
                <w:color w:val="000000"/>
              </w:rPr>
              <w:t>обходим регуля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ный вывод на ППР</w:t>
            </w:r>
            <w:r w:rsidRPr="006831F1">
              <w:rPr>
                <w:color w:val="000000"/>
              </w:rPr>
              <w:br/>
              <w:t>Вопрос с резервной воздуходувкой р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шён (есть резерв)</w:t>
            </w:r>
            <w:r w:rsidRPr="006831F1">
              <w:rPr>
                <w:color w:val="000000"/>
              </w:rPr>
              <w:br/>
              <w:t>регулярный вывод на ППР (в т.ч. для м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хан</w:t>
            </w:r>
            <w:r w:rsidRPr="006831F1">
              <w:rPr>
                <w:color w:val="000000"/>
              </w:rPr>
              <w:t>и</w:t>
            </w:r>
            <w:r w:rsidRPr="006831F1">
              <w:rPr>
                <w:color w:val="000000"/>
              </w:rPr>
              <w:t>ческой очистки)</w:t>
            </w:r>
          </w:p>
        </w:tc>
      </w:tr>
      <w:tr w:rsidR="00196ED7" w:rsidRPr="006831F1" w14:paraId="728C0BE4" w14:textId="77777777" w:rsidTr="00196ED7">
        <w:trPr>
          <w:trHeight w:val="36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3796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6B48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Отключение эле</w:t>
            </w:r>
            <w:r w:rsidRPr="006831F1">
              <w:rPr>
                <w:color w:val="000000"/>
              </w:rPr>
              <w:t>к</w:t>
            </w:r>
            <w:r w:rsidRPr="006831F1">
              <w:rPr>
                <w:color w:val="000000"/>
              </w:rPr>
              <w:t>троэнергии по п</w:t>
            </w:r>
            <w:r w:rsidRPr="006831F1">
              <w:rPr>
                <w:color w:val="000000"/>
              </w:rPr>
              <w:t>о</w:t>
            </w:r>
            <w:r>
              <w:rPr>
                <w:color w:val="000000"/>
              </w:rPr>
              <w:t>годным условиям, в т.ч. п</w:t>
            </w:r>
            <w:r w:rsidRPr="006831F1">
              <w:rPr>
                <w:color w:val="000000"/>
              </w:rPr>
              <w:t>лановые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7150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Остановка электроэнергии ведет к остановке агитаторов и возд</w:t>
            </w:r>
            <w:r w:rsidRPr="006831F1">
              <w:rPr>
                <w:color w:val="000000"/>
              </w:rPr>
              <w:t>у</w:t>
            </w:r>
            <w:r w:rsidRPr="006831F1">
              <w:rPr>
                <w:color w:val="000000"/>
              </w:rPr>
              <w:t>ходувок</w:t>
            </w:r>
            <w:r w:rsidRPr="006831F1">
              <w:rPr>
                <w:color w:val="000000"/>
              </w:rPr>
              <w:br/>
              <w:t xml:space="preserve">Остановка подачи воздуха </w:t>
            </w:r>
            <w:proofErr w:type="gramStart"/>
            <w:r w:rsidRPr="006831F1">
              <w:rPr>
                <w:color w:val="000000"/>
              </w:rPr>
              <w:t>в р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актора</w:t>
            </w:r>
            <w:proofErr w:type="gramEnd"/>
            <w:r w:rsidRPr="006831F1">
              <w:rPr>
                <w:color w:val="000000"/>
              </w:rPr>
              <w:t xml:space="preserve"> (&gt;20мин.) влечёт к потере активности бактерий, соответственно снижае</w:t>
            </w:r>
            <w:r w:rsidRPr="006831F1">
              <w:rPr>
                <w:color w:val="000000"/>
              </w:rPr>
              <w:t>т</w:t>
            </w:r>
            <w:r w:rsidRPr="006831F1">
              <w:rPr>
                <w:color w:val="000000"/>
              </w:rPr>
              <w:t xml:space="preserve">ся/останавливается переработка BIOX. </w:t>
            </w:r>
            <w:r w:rsidRPr="006831F1">
              <w:rPr>
                <w:color w:val="000000"/>
              </w:rPr>
              <w:br/>
              <w:t>При остановке агитаторов (более 30мин.) возможно осажд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ние твердых частиц в реакторах (образование п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стели), что сказывается на учёте остатков (НЗП) золота в процессе</w:t>
            </w:r>
            <w:r w:rsidRPr="006831F1">
              <w:rPr>
                <w:color w:val="000000"/>
              </w:rPr>
              <w:br/>
              <w:t>Переключение на имеющийся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E0D4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Необходимо установить автоматизир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ванную систему запуска дизельного г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нератора в работу, когда в случае откл</w:t>
            </w:r>
            <w:r w:rsidRPr="006831F1">
              <w:rPr>
                <w:color w:val="000000"/>
              </w:rPr>
              <w:t>ю</w:t>
            </w:r>
            <w:r w:rsidRPr="006831F1">
              <w:rPr>
                <w:color w:val="000000"/>
              </w:rPr>
              <w:t>чения электроэнергии – пер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ключение на генераторы происх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дит автоматически.</w:t>
            </w:r>
            <w:r w:rsidRPr="006831F1">
              <w:rPr>
                <w:color w:val="000000"/>
              </w:rPr>
              <w:br/>
              <w:t>(в Фейрвью ЮАР с аналогичным BIOX запуск дизельных генераторов при о</w:t>
            </w:r>
            <w:r w:rsidRPr="006831F1">
              <w:rPr>
                <w:color w:val="000000"/>
              </w:rPr>
              <w:t>т</w:t>
            </w:r>
            <w:r w:rsidRPr="006831F1">
              <w:rPr>
                <w:color w:val="000000"/>
              </w:rPr>
              <w:t>ключении электроэнергии происх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дит автоматически и з</w:t>
            </w:r>
            <w:r w:rsidRPr="006831F1">
              <w:rPr>
                <w:color w:val="000000"/>
              </w:rPr>
              <w:t>а</w:t>
            </w:r>
            <w:r w:rsidRPr="006831F1">
              <w:rPr>
                <w:color w:val="000000"/>
              </w:rPr>
              <w:t>нимает около 5 минут)</w:t>
            </w:r>
            <w:r w:rsidRPr="006831F1">
              <w:rPr>
                <w:color w:val="000000"/>
              </w:rPr>
              <w:br/>
              <w:t>Необходимо рассмотреть возмо</w:t>
            </w:r>
            <w:r w:rsidRPr="006831F1">
              <w:rPr>
                <w:color w:val="000000"/>
              </w:rPr>
              <w:t>ж</w:t>
            </w:r>
            <w:r w:rsidRPr="006831F1">
              <w:rPr>
                <w:color w:val="000000"/>
              </w:rPr>
              <w:t>ность применения аналогичной системы к де</w:t>
            </w:r>
            <w:r w:rsidRPr="006831F1">
              <w:rPr>
                <w:color w:val="000000"/>
              </w:rPr>
              <w:t>й</w:t>
            </w:r>
            <w:r w:rsidRPr="006831F1">
              <w:rPr>
                <w:color w:val="000000"/>
              </w:rPr>
              <w:t>ству</w:t>
            </w:r>
            <w:r w:rsidRPr="006831F1">
              <w:rPr>
                <w:color w:val="000000"/>
              </w:rPr>
              <w:t>ю</w:t>
            </w:r>
            <w:r w:rsidRPr="006831F1">
              <w:rPr>
                <w:color w:val="000000"/>
              </w:rPr>
              <w:t>щим воздуходувкам</w:t>
            </w:r>
          </w:p>
        </w:tc>
      </w:tr>
      <w:tr w:rsidR="00196ED7" w:rsidRPr="006831F1" w14:paraId="44ED7248" w14:textId="77777777" w:rsidTr="00196ED7">
        <w:trPr>
          <w:trHeight w:val="32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12BB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4ECD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Попадание в BIOX токсичных веществ (масла, цианиды, роданиды и т.п.)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D12A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 xml:space="preserve">Не исключены, </w:t>
            </w:r>
            <w:r w:rsidRPr="006831F1">
              <w:rPr>
                <w:color w:val="000000"/>
              </w:rPr>
              <w:br/>
              <w:t>Предварительные испытание на то</w:t>
            </w:r>
            <w:r w:rsidRPr="006831F1">
              <w:rPr>
                <w:color w:val="000000"/>
              </w:rPr>
              <w:t>к</w:t>
            </w:r>
            <w:r w:rsidRPr="006831F1">
              <w:rPr>
                <w:color w:val="000000"/>
              </w:rPr>
              <w:t>сичность всех реагентов, п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даваемых на обогащение, BIOX – проводятся</w:t>
            </w:r>
            <w:r w:rsidRPr="006831F1">
              <w:rPr>
                <w:color w:val="000000"/>
              </w:rPr>
              <w:br/>
              <w:t>Анализ технических вод, раств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ров на содержание роданидов, цианидов – пр</w:t>
            </w:r>
            <w:r w:rsidRPr="006831F1">
              <w:rPr>
                <w:color w:val="000000"/>
              </w:rPr>
              <w:t>о</w:t>
            </w:r>
            <w:r w:rsidRPr="006831F1">
              <w:rPr>
                <w:color w:val="000000"/>
              </w:rPr>
              <w:t>водятся каждые 4ч.</w:t>
            </w:r>
            <w:r w:rsidRPr="006831F1">
              <w:rPr>
                <w:color w:val="000000"/>
              </w:rPr>
              <w:br/>
              <w:t>Попадание мас</w:t>
            </w:r>
            <w:r>
              <w:rPr>
                <w:color w:val="000000"/>
              </w:rPr>
              <w:t>ел из редукторов - не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ключен </w:t>
            </w:r>
            <w:r w:rsidRPr="006831F1">
              <w:rPr>
                <w:color w:val="000000"/>
              </w:rPr>
              <w:t xml:space="preserve">саботаж самих работников, можно всё </w:t>
            </w:r>
            <w:proofErr w:type="gramStart"/>
            <w:r w:rsidRPr="006831F1">
              <w:rPr>
                <w:color w:val="000000"/>
              </w:rPr>
              <w:t>выше перечисленное</w:t>
            </w:r>
            <w:proofErr w:type="gramEnd"/>
            <w:r w:rsidRPr="006831F1">
              <w:rPr>
                <w:color w:val="000000"/>
              </w:rPr>
              <w:t xml:space="preserve"> н</w:t>
            </w:r>
            <w:r w:rsidRPr="006831F1">
              <w:rPr>
                <w:color w:val="000000"/>
              </w:rPr>
              <w:t>е</w:t>
            </w:r>
            <w:r w:rsidRPr="006831F1">
              <w:rPr>
                <w:color w:val="000000"/>
              </w:rPr>
              <w:t>заметно залить в любой зумпф/реактор сообщающийся с BIOX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F5B1" w14:textId="77777777" w:rsidR="00196ED7" w:rsidRPr="006831F1" w:rsidRDefault="00196ED7" w:rsidP="00196ED7">
            <w:pPr>
              <w:ind w:left="68"/>
              <w:rPr>
                <w:color w:val="000000"/>
              </w:rPr>
            </w:pPr>
            <w:r w:rsidRPr="006831F1">
              <w:rPr>
                <w:color w:val="000000"/>
              </w:rPr>
              <w:t>Контроль за дозировкой флотореаге</w:t>
            </w:r>
            <w:r w:rsidRPr="006831F1">
              <w:rPr>
                <w:color w:val="000000"/>
              </w:rPr>
              <w:t>н</w:t>
            </w:r>
            <w:r w:rsidRPr="006831F1">
              <w:rPr>
                <w:color w:val="000000"/>
              </w:rPr>
              <w:t>тов</w:t>
            </w:r>
            <w:r w:rsidRPr="006831F1">
              <w:rPr>
                <w:color w:val="000000"/>
              </w:rPr>
              <w:br/>
              <w:t>Установка камер наблюдения над зум</w:t>
            </w:r>
            <w:r w:rsidRPr="006831F1">
              <w:rPr>
                <w:color w:val="000000"/>
              </w:rPr>
              <w:t>п</w:t>
            </w:r>
            <w:r w:rsidRPr="006831F1">
              <w:rPr>
                <w:color w:val="000000"/>
              </w:rPr>
              <w:t>фами, над входами BIOX</w:t>
            </w:r>
          </w:p>
        </w:tc>
      </w:tr>
    </w:tbl>
    <w:p w14:paraId="61BF5A46" w14:textId="77777777" w:rsidR="00196ED7" w:rsidRDefault="00196ED7"/>
    <w:sectPr w:rsidR="00196ED7" w:rsidSect="00196E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92"/>
    <w:multiLevelType w:val="hybridMultilevel"/>
    <w:tmpl w:val="91D8A080"/>
    <w:lvl w:ilvl="0" w:tplc="E42ACDF0">
      <w:start w:val="1"/>
      <w:numFmt w:val="lowerLetter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300D68"/>
    <w:multiLevelType w:val="hybridMultilevel"/>
    <w:tmpl w:val="6E14628E"/>
    <w:lvl w:ilvl="0" w:tplc="5DF27ABE">
      <w:start w:val="1"/>
      <w:numFmt w:val="decimal"/>
      <w:lvlText w:val="%1."/>
      <w:lvlJc w:val="left"/>
      <w:pPr>
        <w:ind w:left="1063" w:hanging="360"/>
      </w:pPr>
      <w:rPr>
        <w:rFonts w:ascii="Arial" w:eastAsia="Times New Roman" w:hAnsi="Arial" w:cs="Arial"/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46D34DFC"/>
    <w:multiLevelType w:val="hybridMultilevel"/>
    <w:tmpl w:val="EDB61828"/>
    <w:lvl w:ilvl="0" w:tplc="F38A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86B87"/>
    <w:multiLevelType w:val="hybridMultilevel"/>
    <w:tmpl w:val="D822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1E0B"/>
    <w:multiLevelType w:val="hybridMultilevel"/>
    <w:tmpl w:val="240A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95E1E"/>
    <w:multiLevelType w:val="hybridMultilevel"/>
    <w:tmpl w:val="5DA8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D5B5A"/>
    <w:multiLevelType w:val="hybridMultilevel"/>
    <w:tmpl w:val="E99CC252"/>
    <w:lvl w:ilvl="0" w:tplc="D7FED86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B1"/>
    <w:rsid w:val="00196ED7"/>
    <w:rsid w:val="006A48B7"/>
    <w:rsid w:val="00B237EF"/>
    <w:rsid w:val="00C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E392"/>
  <w15:chartTrackingRefBased/>
  <w15:docId w15:val="{269CDC71-6199-4559-BD25-0216AAA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D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ParagraphStyle">
    <w:name w:val="[No Paragraph Style]"/>
    <w:rsid w:val="00196ED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Абрамов</dc:creator>
  <cp:keywords/>
  <dc:description/>
  <cp:lastModifiedBy>Роман Абрамов</cp:lastModifiedBy>
  <cp:revision>2</cp:revision>
  <dcterms:created xsi:type="dcterms:W3CDTF">2021-05-25T08:12:00Z</dcterms:created>
  <dcterms:modified xsi:type="dcterms:W3CDTF">2021-05-25T08:21:00Z</dcterms:modified>
</cp:coreProperties>
</file>